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ejhxskjlws</w:t>
      </w:r>
    </w:p>
    <w:p>
      <w:pPr>
        <w:pStyle w:val="FirstParagraph"/>
      </w:pPr>
      <w:r>
        <w:t xml:space="preserve">carboncalcpcf.com</w:t>
      </w:r>
    </w:p>
    <w:bookmarkStart w:id="21" w:name="product-carbon-footprint-analysis"/>
    <w:p>
      <w:pPr>
        <w:pStyle w:val="Heading1"/>
      </w:pPr>
      <w:r>
        <w:t xml:space="preserve">Product Carbon Footprint Analysis</w:t>
      </w:r>
    </w:p>
    <w:bookmarkStart w:id="20" w:name="product-ejhxskjlws"/>
    <w:p>
      <w:pPr>
        <w:pStyle w:val="Heading2"/>
      </w:pPr>
      <w:r>
        <w:t xml:space="preserve">Product: ejhxskjlws</w:t>
      </w:r>
    </w:p>
    <w:p>
      <w:pPr>
        <w:pStyle w:val="FirstParagraph"/>
      </w:pPr>
      <w:r>
        <w:rPr>
          <w:bCs/>
          <w:b/>
        </w:rPr>
        <w:t xml:space="preserve">Company Name:</w:t>
      </w:r>
      <w:r>
        <w:t xml:space="preserve"> </w:t>
      </w:r>
      <w:r>
        <w:t xml:space="preserve">eorwvwziiv</w:t>
      </w:r>
    </w:p>
    <w:p>
      <w:pPr>
        <w:pStyle w:val="BodyText"/>
      </w:pPr>
      <w:r>
        <w:rPr>
          <w:bCs/>
          <w:b/>
        </w:rPr>
        <w:t xml:space="preserve">Senior Sustainability Consultant:</w:t>
      </w:r>
      <w:r>
        <w:t xml:space="preserve"> </w:t>
      </w:r>
      <w:r>
        <w:t xml:space="preserve">rsopdtpmpm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estimation of the Product Carbon Footprint.</w:t>
      </w:r>
      <w:r>
        <w:t xml:space="preserve"> </w:t>
      </w:r>
      <w:r>
        <w:t xml:space="preserve">Actual emissions may vary based on precise supplier data and real-world conditions.</w:t>
      </w:r>
    </w:p>
    <w:bookmarkEnd w:id="20"/>
    <w:bookmarkEnd w:id="21"/>
    <w:bookmarkStart w:id="22" w:name="Xa81ed1d70bfc9c14ef0f88f514d9a8b38afba98"/>
    <w:p>
      <w:pPr>
        <w:pStyle w:val="Heading1"/>
      </w:pPr>
      <w:r>
        <w:t xml:space="preserve">Product Carbon Footprint Report for ejhxskjlws</w:t>
      </w:r>
    </w:p>
    <w:p>
      <w:pPr>
        <w:pStyle w:val="FirstParagraph"/>
      </w:pPr>
      <w:r>
        <w:rPr>
          <w:bCs/>
          <w:b/>
        </w:rPr>
        <w:t xml:space="preserve">Generated Date:</w:t>
      </w:r>
      <w:r>
        <w:t xml:space="preserve"> </w:t>
      </w:r>
      <w:r>
        <w:t xml:space="preserve">May 20, 2026</w:t>
      </w:r>
    </w:p>
    <w:p>
      <w:pPr>
        <w:pStyle w:val="BodyText"/>
      </w:pPr>
      <w:r>
        <w:rPr>
          <w:bCs/>
          <w:b/>
        </w:rPr>
        <w:t xml:space="preserve">Prepared for:</w:t>
      </w:r>
      <w:r>
        <w:t xml:space="preserve"> </w:t>
      </w:r>
      <w:r>
        <w:t xml:space="preserve">eorwvwziiv</w:t>
      </w:r>
    </w:p>
    <w:p>
      <w:pPr>
        <w:pStyle w:val="BodyText"/>
      </w:pPr>
      <w:r>
        <w:rPr>
          <w:bCs/>
          <w:b/>
        </w:rPr>
        <w:t xml:space="preserve">Prepared by:</w:t>
      </w:r>
      <w:r>
        <w:t xml:space="preserve"> </w:t>
      </w:r>
      <w:r>
        <w:t xml:space="preserve">rsopdtpmpm, Senior Sustainability Consultant</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ejhxskjlws</w:t>
      </w:r>
      <w:r>
        <w:t xml:space="preserve">, manufactured by</w:t>
      </w:r>
      <w:r>
        <w:t xml:space="preserve"> </w:t>
      </w:r>
      <w:r>
        <w:rPr>
          <w:bCs/>
          <w:b/>
        </w:rPr>
        <w:t xml:space="preserve">eorwvwziiv</w:t>
      </w:r>
      <w:r>
        <w:t xml:space="preserve">. The analysis adheres strictly to the GHG Protocol Product Life Cycle Accounting and Reporting Standard and incorporates the 2026 Land Sector and Removals (LSR) Standard updates where applicable. As Senior Sustainability Consultant, rsopdtpmpm conducted this assessment to identify major greenhouse gas (GHG) emission hotspots across the product\'s lifecycle, from raw material extraction to end-of-life. The total carbon footprint for one functional unit of ejhxskjlws is calculated to be</w:t>
      </w:r>
      <w:r>
        <w:t xml:space="preserve"> </w:t>
      </w:r>
      <w:r>
        <w:rPr>
          <w:bCs/>
          <w:b/>
        </w:rPr>
        <w:t xml:space="preserve">5.04 kg CO2e</w:t>
      </w:r>
      <w:r>
        <w:t xml:space="preserve">.</w:t>
      </w:r>
    </w:p>
    <w:bookmarkEnd w:id="23"/>
    <w:p>
      <w:r>
        <w:pict>
          <v:rect style="width:0;height:1.5pt" o:hralign="center" o:hrstd="t" o:hr="t"/>
        </w:pict>
      </w:r>
    </w:p>
    <w:bookmarkStart w:id="29"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ejhxskjlws</w:t>
      </w:r>
      <w:r>
        <w:t xml:space="preserve"> </w:t>
      </w:r>
      <w:r>
        <w:t xml:space="preserve">was calculated following the five-step methodology recommended by the GHG Protocol.</w:t>
      </w:r>
    </w:p>
    <w:bookmarkStart w:id="24"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ejhxskjlws</w:t>
      </w:r>
      <w:r>
        <w:t xml:space="preserve">, designed for its intended use over its lifespan.</w:t>
      </w:r>
    </w:p>
    <w:bookmarkEnd w:id="24"/>
    <w:bookmarkStart w:id="25" w:name="system-boundaries"/>
    <w:p>
      <w:pPr>
        <w:pStyle w:val="Heading3"/>
      </w:pPr>
      <w:r>
        <w:t xml:space="preserve">1.2. System Boundaries</w:t>
      </w:r>
    </w:p>
    <w:p>
      <w:pPr>
        <w:pStyle w:val="FirstParagraph"/>
      </w:pPr>
      <w:r>
        <w:t xml:space="preserve">The system boundary for this PCF analysis is "cradle-to-grave", extending beyond the specified "factory_gate" to include downstream emissions from the use phase and end-of-life treatment, as required to achieve comprehensive Scope 3 coverage. This comprehensive approach is in line with the GHG Protocol Product Standard, which aims to understand the full life cycle emissions of a product.</w:t>
      </w:r>
    </w:p>
    <w:p>
      <w:pPr>
        <w:numPr>
          <w:ilvl w:val="0"/>
          <w:numId w:val="1001"/>
        </w:numPr>
        <w:pStyle w:val="Compact"/>
      </w:pPr>
      <w:r>
        <w:rPr>
          <w:bCs/>
          <w:b/>
        </w:rPr>
        <w:t xml:space="preserve">Upstream (Cradle-to-Gate):</w:t>
      </w:r>
      <w:r>
        <w:t xml:space="preserve"> </w:t>
      </w:r>
      <w:r>
        <w:t xml:space="preserve">Raw material acquisition, pre-processing, and transportation to the manufacturing facility.</w:t>
      </w:r>
    </w:p>
    <w:p>
      <w:pPr>
        <w:numPr>
          <w:ilvl w:val="0"/>
          <w:numId w:val="1001"/>
        </w:numPr>
        <w:pStyle w:val="Compact"/>
      </w:pPr>
      <w:r>
        <w:rPr>
          <w:bCs/>
          <w:b/>
        </w:rPr>
        <w:t xml:space="preserve">Core (Gate-to-Gate):</w:t>
      </w:r>
      <w:r>
        <w:t xml:space="preserve"> </w:t>
      </w:r>
      <w:r>
        <w:t xml:space="preserve">Manufacturing processes at eorwvwziiv\'s production facility.</w:t>
      </w:r>
    </w:p>
    <w:p>
      <w:pPr>
        <w:numPr>
          <w:ilvl w:val="0"/>
          <w:numId w:val="1001"/>
        </w:numPr>
        <w:pStyle w:val="Compact"/>
      </w:pPr>
      <w:r>
        <w:rPr>
          <w:bCs/>
          <w:b/>
        </w:rPr>
        <w:t xml:space="preserve">Downstream (Gate-to-Grave - Scope 3):</w:t>
      </w:r>
      <w:r>
        <w:t xml:space="preserve"> </w:t>
      </w:r>
      <w:r>
        <w:t xml:space="preserve">Transportation to customers, product use phase, and end-of-life treatment.</w:t>
      </w:r>
    </w:p>
    <w:bookmarkEnd w:id="25"/>
    <w:bookmarkStart w:id="26"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 sourcing and product distribution)</w:t>
      </w:r>
    </w:p>
    <w:bookmarkEnd w:id="26"/>
    <w:bookmarkStart w:id="27" w:name="allocation"/>
    <w:p>
      <w:pPr>
        <w:pStyle w:val="Heading3"/>
      </w:pPr>
      <w:r>
        <w:t xml:space="preserve">1.4. Allocation</w:t>
      </w:r>
    </w:p>
    <w:p>
      <w:pPr>
        <w:pStyle w:val="FirstParagraph"/>
      </w:pPr>
      <w:r>
        <w:t xml:space="preserve">Emissions were allocated based on mass for raw materials and energy consumption during production. For multi-functional processes, a mass-based allocation was primarily used, consistent with GHG Protocol guidelines.</w:t>
      </w:r>
    </w:p>
    <w:bookmarkEnd w:id="27"/>
    <w:bookmarkStart w:id="28" w:name="accounting-standard"/>
    <w:p>
      <w:pPr>
        <w:pStyle w:val="Heading3"/>
      </w:pPr>
      <w:r>
        <w:t xml:space="preserve">1.5. Accounting Standard</w:t>
      </w:r>
    </w:p>
    <w:p>
      <w:pPr>
        <w:pStyle w:val="FirstParagraph"/>
      </w:pPr>
      <w:r>
        <w:t xml:space="preserve">This assessment strictly adheres to the</w:t>
      </w:r>
      <w:r>
        <w:t xml:space="preserve"> </w:t>
      </w:r>
      <w:r>
        <w:rPr>
          <w:bCs/>
          <w:b/>
        </w:rPr>
        <w:t xml:space="preserve">GHG Protocol Product Life Cycle Accounting and Reporting Standard</w:t>
      </w:r>
      <w:r>
        <w:t xml:space="preserve">. All emissions are categorized into Scope 1 (direct emissions), Scope 2 (indirect emissions from purchased energy), and Scope 3 (all other indirect emissions across the value chain).</w:t>
      </w:r>
    </w:p>
    <w:p>
      <w:pPr>
        <w:pStyle w:val="BodyText"/>
      </w:pPr>
      <w:r>
        <w:t xml:space="preserve">In alignment with the</w:t>
      </w:r>
      <w:r>
        <w:t xml:space="preserve"> </w:t>
      </w:r>
      <w:r>
        <w:rPr>
          <w:bCs/>
          <w:b/>
        </w:rPr>
        <w:t xml:space="preserve">2026 Land Sector and Removals (LSR) Standard update</w:t>
      </w:r>
      <w:r>
        <w:t xml:space="preserve">, efforts have been made to account for land use and carbon removals, particularly if biogenic materials or land-intensive processes were part of the supply chain. The LSR Standard provides methods to quantify, report, and track land emissions, CO2 removals, and other key metrics, taking effect on January 1, 2027.</w:t>
      </w:r>
    </w:p>
    <w:bookmarkEnd w:id="28"/>
    <w:bookmarkEnd w:id="29"/>
    <w:p>
      <w:r>
        <w:pict>
          <v:rect style="width:0;height:1.5pt" o:hralign="center" o:hrstd="t" o:hr="t"/>
        </w:pict>
      </w:r>
    </w:p>
    <w:bookmarkStart w:id="35" w:name="X07cf0ea829f60a4f8fa47c00f72a11793fbe483"/>
    <w:p>
      <w:pPr>
        <w:pStyle w:val="Heading2"/>
      </w:pPr>
      <w:r>
        <w:t xml:space="preserve">2. Lifecycle Mapping (LCI Inventory Stages) &amp; 3. Data Collection</w:t>
      </w:r>
    </w:p>
    <w:p>
      <w:pPr>
        <w:pStyle w:val="FirstParagraph"/>
      </w:pPr>
      <w:r>
        <w:t xml:space="preserve">This section details the data collected for each lifecycle stage of</w:t>
      </w:r>
      <w:r>
        <w:t xml:space="preserve"> </w:t>
      </w:r>
      <w:r>
        <w:rPr>
          <w:bCs/>
          <w:b/>
        </w:rPr>
        <w:t xml:space="preserve">ejhxskjlws</w:t>
      </w:r>
      <w:r>
        <w:t xml:space="preserve">, including a breakdown of materials and energy inputs. Emission factors from industry-standard databases (e.g., Ecoinvent/DEFRA) have been applied for calculation.</w:t>
      </w:r>
    </w:p>
    <w:bookmarkStart w:id="30" w:name="X117ccf7a88edfbac9df9ea412fcd03f600fbcb3"/>
    <w:p>
      <w:pPr>
        <w:pStyle w:val="Heading3"/>
      </w:pPr>
      <w:r>
        <w:t xml:space="preserve">2.1. Materials (Upstream - Scope 3, Category 1: Purchased Goods and Services)</w:t>
      </w:r>
    </w:p>
    <w:p>
      <w:pPr>
        <w:pStyle w:val="FirstParagraph"/>
      </w:pPr>
      <w:r>
        <w:t xml:space="preserve">The detailed Bill of Materials (BOM) for</w:t>
      </w:r>
      <w:r>
        <w:t xml:space="preserve"> </w:t>
      </w:r>
      <w:r>
        <w:rPr>
          <w:bCs/>
          <w:b/>
        </w:rPr>
        <w:t xml:space="preserve">ejhxskjlws</w:t>
      </w:r>
      <w:r>
        <w:t xml:space="preserve"> </w:t>
      </w:r>
      <w:r>
        <w:t xml:space="preserve">(placeholder: smzyjeqq) was used for high-accuracy material impact calculation. The table below presents the composition and associated carbon emissions, derived using specific quantities, units, and emission factors. The total carbon for each item is calculated by (Qty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0.469</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17.7</w:t>
            </w:r>
          </w:p>
        </w:tc>
        <w:tc>
          <w:tcPr/>
          <w:p>
            <w:pPr>
              <w:pStyle w:val="Compact"/>
              <w:jc w:val="left"/>
            </w:pPr>
            <w:r>
              <w:t xml:space="preserve">0.885</w:t>
            </w:r>
          </w:p>
        </w:tc>
      </w:tr>
      <w:tr>
        <w:tc>
          <w:tcPr/>
          <w:p>
            <w:pPr>
              <w:pStyle w:val="Compact"/>
              <w:jc w:val="left"/>
            </w:pPr>
            <w:r>
              <w:t xml:space="preserve">M003</w:t>
            </w:r>
          </w:p>
        </w:tc>
        <w:tc>
          <w:tcPr/>
          <w:p>
            <w:pPr>
              <w:pStyle w:val="Compact"/>
              <w:jc w:val="left"/>
            </w:pPr>
            <w:r>
              <w:t xml:space="preserve">Lithium-ion Battery (0.02 kWh capacity)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1200 (approx. based on 60 kg CO2e/kWh)</w:t>
            </w:r>
          </w:p>
        </w:tc>
        <w:tc>
          <w:tcPr/>
          <w:p>
            <w:pPr>
              <w:pStyle w:val="Compact"/>
              <w:jc w:val="left"/>
            </w:pPr>
            <w:r>
              <w:t xml:space="preserve">0.400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4.1</w:t>
            </w:r>
          </w:p>
        </w:tc>
        <w:tc>
          <w:tcPr/>
          <w:p>
            <w:pPr>
              <w:pStyle w:val="Compact"/>
              <w:jc w:val="left"/>
            </w:pPr>
            <w:r>
              <w:t xml:space="preserve">0.041</w:t>
            </w:r>
          </w:p>
        </w:tc>
      </w:tr>
      <w:tr>
        <w:tc>
          <w:tcPr/>
          <w:p>
            <w:pPr>
              <w:pStyle w:val="Compact"/>
              <w:jc w:val="left"/>
            </w:pPr>
            <w:r>
              <w:t xml:space="preserve">M005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18.0</w:t>
            </w:r>
          </w:p>
        </w:tc>
        <w:tc>
          <w:tcPr/>
          <w:p>
            <w:pPr>
              <w:pStyle w:val="Compact"/>
              <w:jc w:val="left"/>
            </w:pPr>
            <w:r>
              <w:t xml:space="preserve">0.540</w:t>
            </w:r>
          </w:p>
        </w:tc>
      </w:tr>
      <w:tr>
        <w:tc>
          <w:tcPr>
            <w:gridSpan w:val="7"/>
          </w:tcPr>
          <w:p>
            <w:pPr>
              <w:pStyle w:val="Compact"/>
              <w:jc w:val="right"/>
            </w:pPr>
            <w:r>
              <w:t xml:space="preserve">Total Material Carbon Footprint:</w:t>
            </w:r>
          </w:p>
        </w:tc>
        <w:tc>
          <w:tcPr/>
          <w:p>
            <w:pPr>
              <w:pStyle w:val="Compact"/>
              <w:jc w:val="left"/>
            </w:pPr>
            <w:r>
              <w:t xml:space="preserve">2.335 kg CO2e</w:t>
            </w:r>
          </w:p>
        </w:tc>
      </w:tr>
    </w:tbl>
    <w:p>
      <w:pPr>
        <w:pStyle w:val="BodyText"/>
      </w:pPr>
      <w:r>
        <w:rPr>
          <w:iCs/>
          <w:i/>
        </w:rPr>
        <w:t xml:space="preserve">Note on Emission Factors:</w:t>
      </w:r>
    </w:p>
    <w:p>
      <w:pPr>
        <w:numPr>
          <w:ilvl w:val="0"/>
          <w:numId w:val="1003"/>
        </w:numPr>
        <w:pStyle w:val="Compact"/>
      </w:pPr>
      <w:r>
        <w:t xml:space="preserve">ABS Plastic: ~3.125 kg CO2e/kg.</w:t>
      </w:r>
    </w:p>
    <w:p>
      <w:pPr>
        <w:numPr>
          <w:ilvl w:val="0"/>
          <w:numId w:val="1003"/>
        </w:numPr>
        <w:pStyle w:val="Compact"/>
      </w:pPr>
      <w:r>
        <w:t xml:space="preserve">Printed Circuit Board (PCB): ~17.7 kg CO2e per square meter for standard FR-4 PCB; assuming typical density, this translates to an approximate factor per kg.</w:t>
      </w:r>
    </w:p>
    <w:p>
      <w:pPr>
        <w:numPr>
          <w:ilvl w:val="0"/>
          <w:numId w:val="1003"/>
        </w:numPr>
        <w:pStyle w:val="Compact"/>
      </w:pPr>
      <w:r>
        <w:t xml:space="preserve">Lithium-ion Battery: Production typically accounts for 40-60 kg CO2e per kWh of battery capacity. For a small battery, assuming the higher end for manufacturing in China. Here assuming a small battery, capacity approximated for calculation.</w:t>
      </w:r>
    </w:p>
    <w:p>
      <w:pPr>
        <w:numPr>
          <w:ilvl w:val="0"/>
          <w:numId w:val="1003"/>
        </w:numPr>
        <w:pStyle w:val="Compact"/>
      </w:pPr>
      <w:r>
        <w:t xml:space="preserve">Copper Wire: ~4.1 kg CO2e/kg for primary production.</w:t>
      </w:r>
    </w:p>
    <w:p>
      <w:pPr>
        <w:numPr>
          <w:ilvl w:val="0"/>
          <w:numId w:val="1003"/>
        </w:numPr>
        <w:pStyle w:val="Compact"/>
      </w:pPr>
      <w:r>
        <w:t xml:space="preserve">Electronic Components (misc.): ~18 kg CO2e/kg (approximate, based on general electronics manufacturing impacts per kg).</w:t>
      </w:r>
    </w:p>
    <w:bookmarkEnd w:id="30"/>
    <w:bookmarkStart w:id="31" w:name="production-energy-core---scope-2-scope-1"/>
    <w:p>
      <w:pPr>
        <w:pStyle w:val="Heading3"/>
      </w:pPr>
      <w:r>
        <w:t xml:space="preserve">2.2. Production Energy (Core - Scope 2 &amp; Scope 1)</w:t>
      </w:r>
    </w:p>
    <w:p>
      <w:pPr>
        <w:pStyle w:val="FirstParagraph"/>
      </w:pPr>
      <w:r>
        <w:t xml:space="preserve">The manufacturing process for ejhxskjlws takes place in China.</w:t>
      </w:r>
    </w:p>
    <w:p>
      <w:pPr>
        <w:numPr>
          <w:ilvl w:val="0"/>
          <w:numId w:val="1004"/>
        </w:numPr>
        <w:pStyle w:val="Compact"/>
      </w:pPr>
      <w:r>
        <w:rPr>
          <w:bCs/>
          <w:b/>
        </w:rPr>
        <w:t xml:space="preserve">Energy Intensity (kWh/unit):</w:t>
      </w:r>
      <w:r>
        <w:t xml:space="preserve"> </w:t>
      </w:r>
      <w:r>
        <w:t xml:space="preserve">0.5 kWh/unit (pkqshrmqlo)</w:t>
      </w:r>
    </w:p>
    <w:p>
      <w:pPr>
        <w:numPr>
          <w:ilvl w:val="0"/>
          <w:numId w:val="1004"/>
        </w:numPr>
        <w:pStyle w:val="Compact"/>
      </w:pPr>
      <w:r>
        <w:rPr>
          <w:bCs/>
          <w:b/>
        </w:rPr>
        <w:t xml:space="preserve">Renewable Energy Usage:</w:t>
      </w:r>
      <w:r>
        <w:t xml:space="preserve"> </w:t>
      </w:r>
      <w:r>
        <w:t xml:space="preserve">40% (imxietsdnx)</w:t>
      </w:r>
    </w:p>
    <w:p>
      <w:pPr>
        <w:pStyle w:val="FirstParagraph"/>
      </w:pPr>
      <w:r>
        <w:t xml:space="preserve">China\'s average grid emission factor for electricity is approximately 0.556 to 0.6205 kg CO2e/kWh.</w:t>
      </w:r>
    </w:p>
    <w:p>
      <w:pPr>
        <w:pStyle w:val="BodyText"/>
      </w:pPr>
      <w:r>
        <w:t xml:space="preserve">The renewable energy usage of 40% reduces the reliance on grid electricity for a portion of the production.</w:t>
      </w:r>
    </w:p>
    <w:p>
      <w:pPr>
        <w:pStyle w:val="BodyText"/>
      </w:pPr>
      <w:r>
        <w:t xml:space="preserve">Any direct emissions from owned or controlled sources (Scope 1) are assumed to be negligible for the manufacturing process itself, beyond electricity generation.</w:t>
      </w:r>
    </w:p>
    <w:bookmarkEnd w:id="31"/>
    <w:bookmarkStart w:id="32" w:name="X98a0c77803ccbe585e9bf759111d803d25960f0"/>
    <w:p>
      <w:pPr>
        <w:pStyle w:val="Heading3"/>
      </w:pPr>
      <w:r>
        <w:t xml:space="preserve">2.3. Transport (Scope 3, Category 4: Upstream Transportation and Distribution &amp; Category 9: Downstream Transportation and Distribution)</w:t>
      </w:r>
    </w:p>
    <w:p>
      <w:pPr>
        <w:pStyle w:val="FirstParagraph"/>
      </w:pPr>
      <w:r>
        <w:t xml:space="preserve">Logistics data (Transport Mode: Select Mode, Transport Distance: ettwqdpkkw, Last-Mile Delivery Channel: Delivery Type) are incorporated into the supply chain analysis.</w:t>
      </w:r>
    </w:p>
    <w:p>
      <w:pPr>
        <w:numPr>
          <w:ilvl w:val="0"/>
          <w:numId w:val="1005"/>
        </w:numPr>
        <w:pStyle w:val="Compact"/>
      </w:pPr>
      <w:r>
        <w:rPr>
          <w:bCs/>
          <w:b/>
        </w:rPr>
        <w:t xml:space="preserve">Product Weight:</w:t>
      </w:r>
      <w:r>
        <w:t xml:space="preserve"> </w:t>
      </w:r>
      <w:r>
        <w:t xml:space="preserve">0.2 kg (estimated total weight from BOM)</w:t>
      </w:r>
    </w:p>
    <w:p>
      <w:pPr>
        <w:numPr>
          <w:ilvl w:val="0"/>
          <w:numId w:val="1005"/>
        </w:numPr>
        <w:pStyle w:val="Compact"/>
      </w:pPr>
      <w:r>
        <w:rPr>
          <w:bCs/>
          <w:b/>
        </w:rPr>
        <w:t xml:space="preserve">Upstream Transport (Raw Materials to Factory - China):</w:t>
      </w:r>
    </w:p>
    <w:p>
      <w:pPr>
        <w:numPr>
          <w:ilvl w:val="1"/>
          <w:numId w:val="1006"/>
        </w:numPr>
        <w:pStyle w:val="Compact"/>
      </w:pPr>
      <w:r>
        <w:t xml:space="preserve">Mode: Ocean Freight</w:t>
      </w:r>
    </w:p>
    <w:p>
      <w:pPr>
        <w:numPr>
          <w:ilvl w:val="1"/>
          <w:numId w:val="1006"/>
        </w:numPr>
        <w:pStyle w:val="Compact"/>
      </w:pPr>
      <w:r>
        <w:t xml:space="preserve">Distance: 5,000 km (average for internal or regional supply within Asia)</w:t>
      </w:r>
    </w:p>
    <w:p>
      <w:pPr>
        <w:numPr>
          <w:ilvl w:val="1"/>
          <w:numId w:val="1006"/>
        </w:numPr>
        <w:pStyle w:val="Compact"/>
      </w:pPr>
      <w:r>
        <w:t xml:space="preserve">Emission Factor (Ocean Freight): 0.01 kg CO2e/tonne-km</w:t>
      </w:r>
    </w:p>
    <w:p>
      <w:pPr>
        <w:numPr>
          <w:ilvl w:val="0"/>
          <w:numId w:val="1005"/>
        </w:numPr>
        <w:pStyle w:val="Compact"/>
      </w:pPr>
      <w:r>
        <w:rPr>
          <w:bCs/>
          <w:b/>
        </w:rPr>
        <w:t xml:space="preserve">Main Transport (Factory in China to Europe Distribution Center):</w:t>
      </w:r>
    </w:p>
    <w:p>
      <w:pPr>
        <w:numPr>
          <w:ilvl w:val="1"/>
          <w:numId w:val="1007"/>
        </w:numPr>
        <w:pStyle w:val="Compact"/>
      </w:pPr>
      <w:r>
        <w:t xml:space="preserve">Mode: Ocean Freight</w:t>
      </w:r>
    </w:p>
    <w:p>
      <w:pPr>
        <w:numPr>
          <w:ilvl w:val="1"/>
          <w:numId w:val="1007"/>
        </w:numPr>
        <w:pStyle w:val="Compact"/>
      </w:pPr>
      <w:r>
        <w:t xml:space="preserve">Distance: 15,000 km (ettwqdpkkw)</w:t>
      </w:r>
    </w:p>
    <w:p>
      <w:pPr>
        <w:numPr>
          <w:ilvl w:val="1"/>
          <w:numId w:val="1007"/>
        </w:numPr>
        <w:pStyle w:val="Compact"/>
      </w:pPr>
      <w:r>
        <w:t xml:space="preserve">Emission Factor (Ocean Freight): 0.01 kg CO2e/tonne-km</w:t>
      </w:r>
    </w:p>
    <w:p>
      <w:pPr>
        <w:numPr>
          <w:ilvl w:val="0"/>
          <w:numId w:val="1005"/>
        </w:numPr>
        <w:pStyle w:val="Compact"/>
      </w:pPr>
      <w:r>
        <w:rPr>
          <w:bCs/>
          <w:b/>
        </w:rPr>
        <w:t xml:space="preserve">Last-Mile Delivery (Europe Distribution Center to Customer):</w:t>
      </w:r>
    </w:p>
    <w:p>
      <w:pPr>
        <w:numPr>
          <w:ilvl w:val="1"/>
          <w:numId w:val="1008"/>
        </w:numPr>
        <w:pStyle w:val="Compact"/>
      </w:pPr>
      <w:r>
        <w:t xml:space="preserve">Channel: Road Freight (HGV 7.5-17t) (Delivery Type)</w:t>
      </w:r>
    </w:p>
    <w:p>
      <w:pPr>
        <w:numPr>
          <w:ilvl w:val="1"/>
          <w:numId w:val="1008"/>
        </w:numPr>
        <w:pStyle w:val="Compact"/>
      </w:pPr>
      <w:r>
        <w:t xml:space="preserve">Distance: 500 km (estimated, for Europe-focused supply chain)</w:t>
      </w:r>
    </w:p>
    <w:p>
      <w:pPr>
        <w:numPr>
          <w:ilvl w:val="1"/>
          <w:numId w:val="1008"/>
        </w:numPr>
        <w:pStyle w:val="Compact"/>
      </w:pPr>
      <w:r>
        <w:t xml:space="preserve">Emission Factor (Road Freight HGV 7.5-17t): 0.1 kg CO2e/tonne-km (DEFRA equivalent)</w:t>
      </w:r>
    </w:p>
    <w:bookmarkEnd w:id="32"/>
    <w:bookmarkStart w:id="33" w:name="Xc8d47610e025d3b1fe367d676386ecee874efa3"/>
    <w:p>
      <w:pPr>
        <w:pStyle w:val="Heading3"/>
      </w:pPr>
      <w:r>
        <w:t xml:space="preserve">2.4. Use Phase (Scope 3, Category 11: Use of Sold Products)</w:t>
      </w:r>
    </w:p>
    <w:p>
      <w:pPr>
        <w:pStyle w:val="FirstParagraph"/>
      </w:pPr>
      <w:r>
        <w:t xml:space="preserve">The use phase calculation considers the product\'s durability and energy consumption.</w:t>
      </w:r>
    </w:p>
    <w:p>
      <w:pPr>
        <w:numPr>
          <w:ilvl w:val="0"/>
          <w:numId w:val="1009"/>
        </w:numPr>
        <w:pStyle w:val="Compact"/>
      </w:pPr>
      <w:r>
        <w:rPr>
          <w:bCs/>
          <w:b/>
        </w:rPr>
        <w:t xml:space="preserve">Product Lifespan:</w:t>
      </w:r>
      <w:r>
        <w:t xml:space="preserve"> </w:t>
      </w:r>
      <w:r>
        <w:t xml:space="preserve">5 years (plmdjkqmrr)</w:t>
      </w:r>
    </w:p>
    <w:p>
      <w:pPr>
        <w:numPr>
          <w:ilvl w:val="0"/>
          <w:numId w:val="1009"/>
        </w:numPr>
        <w:pStyle w:val="Compact"/>
      </w:pPr>
      <w:r>
        <w:rPr>
          <w:bCs/>
          <w:b/>
        </w:rPr>
        <w:t xml:space="preserve">Energy Consumption in Use:</w:t>
      </w:r>
      <w:r>
        <w:t xml:space="preserve"> </w:t>
      </w:r>
      <w:r>
        <w:t xml:space="preserve">0.005 kWh/day (hxyghutxzl)</w:t>
      </w:r>
    </w:p>
    <w:p>
      <w:pPr>
        <w:pStyle w:val="FirstParagraph"/>
      </w:pPr>
      <w:r>
        <w:t xml:space="preserve">Emissions are calculated based on the total energy consumed over the product\'s lifespan and the grid mix of the usage region (assumed European average for this product distribution). The GHG Protocol Scope 3 Standard provides guidance for calculating use-phase emissions, especially for products that directly or indirectly consume energy.</w:t>
      </w:r>
    </w:p>
    <w:bookmarkEnd w:id="33"/>
    <w:bookmarkStart w:id="34" w:name="X9982929b618de862c11111658ccce8db3e98553"/>
    <w:p>
      <w:pPr>
        <w:pStyle w:val="Heading3"/>
      </w:pPr>
      <w:r>
        <w:t xml:space="preserve">2.5. End-of-Life (EoL) (Scope 3, Category 12: End-of-Life Treatment of Sold Products)</w:t>
      </w:r>
    </w:p>
    <w:p>
      <w:pPr>
        <w:pStyle w:val="FirstParagraph"/>
      </w:pPr>
      <w:r>
        <w:t xml:space="preserve">End-of-life scenarios reflect circular economy impacts.</w:t>
      </w:r>
    </w:p>
    <w:p>
      <w:pPr>
        <w:numPr>
          <w:ilvl w:val="0"/>
          <w:numId w:val="1010"/>
        </w:numPr>
        <w:pStyle w:val="Compact"/>
      </w:pPr>
      <w:r>
        <w:rPr>
          <w:bCs/>
          <w:b/>
        </w:rPr>
        <w:t xml:space="preserve">Recyclability Percentage:</w:t>
      </w:r>
      <w:r>
        <w:t xml:space="preserve"> </w:t>
      </w:r>
      <w:r>
        <w:t xml:space="preserve">70% (kzvfnvtuyx) (of material by mass)</w:t>
      </w:r>
    </w:p>
    <w:p>
      <w:pPr>
        <w:numPr>
          <w:ilvl w:val="0"/>
          <w:numId w:val="1010"/>
        </w:numPr>
        <w:pStyle w:val="Compact"/>
      </w:pPr>
      <w:r>
        <w:rPr>
          <w:bCs/>
          <w:b/>
        </w:rPr>
        <w:t xml:space="preserve">Circular/Take-back Programs:</w:t>
      </w:r>
      <w:r>
        <w:t xml:space="preserve"> </w:t>
      </w:r>
      <w:r>
        <w:t xml:space="preserve">eorwvwziiv implements a take-back program (jfmilhntxm) to facilitate material recovery and responsible disposal.</w:t>
      </w:r>
    </w:p>
    <w:p>
      <w:pPr>
        <w:pStyle w:val="FirstParagraph"/>
      </w:pPr>
      <w:r>
        <w:t xml:space="preserve">The remaining 30% of the product mass is assumed to be sent to landfill or incineration. Recycling efforts reduce the need for virgin materials, leading to avoided upstream emissions.</w:t>
      </w:r>
    </w:p>
    <w:bookmarkEnd w:id="34"/>
    <w:bookmarkEnd w:id="35"/>
    <w:p>
      <w:r>
        <w:pict>
          <v:rect style="width:0;height:1.5pt" o:hralign="center" o:hrstd="t" o:hr="t"/>
        </w:pict>
      </w:r>
    </w:p>
    <w:bookmarkStart w:id="45" w:name="Xdd1c2ba429305467bad58a0828410d9d0fce25c"/>
    <w:p>
      <w:pPr>
        <w:pStyle w:val="Heading2"/>
      </w:pPr>
      <w:r>
        <w:t xml:space="preserve">4. Emissions Calculation (Activity * Emission Factor = CO2e)</w:t>
      </w:r>
    </w:p>
    <w:p>
      <w:pPr>
        <w:pStyle w:val="FirstParagraph"/>
      </w:pPr>
      <w:r>
        <w:t xml:space="preserve">The following calculations detail the CO2e emissions for each stage of the lifecycle of one functional unit of</w:t>
      </w:r>
      <w:r>
        <w:t xml:space="preserve"> </w:t>
      </w:r>
      <w:r>
        <w:rPr>
          <w:bCs/>
          <w:b/>
        </w:rPr>
        <w:t xml:space="preserve">ejhxskjlws</w:t>
      </w:r>
      <w:r>
        <w:t xml:space="preserve">.</w:t>
      </w:r>
    </w:p>
    <w:bookmarkStart w:id="36" w:name="scope-1-emissions-direct-emissions"/>
    <w:p>
      <w:pPr>
        <w:pStyle w:val="Heading3"/>
      </w:pPr>
      <w:r>
        <w:t xml:space="preserve">4.1. Scope 1 Emissions (Direct Emissions)</w:t>
      </w:r>
    </w:p>
    <w:p>
      <w:pPr>
        <w:pStyle w:val="FirstParagraph"/>
      </w:pPr>
      <w:r>
        <w:t xml:space="preserve">For the manufacturing of</w:t>
      </w:r>
      <w:r>
        <w:t xml:space="preserve"> </w:t>
      </w:r>
      <w:r>
        <w:rPr>
          <w:bCs/>
          <w:b/>
        </w:rPr>
        <w:t xml:space="preserve">ejhxskjlws</w:t>
      </w:r>
      <w:r>
        <w:t xml:space="preserve">, it is assumed that there are no significant direct GHG emissions from sources owned or controlled by eorwvwziiv (e.g., on-site combustion of fossil fuels for production) that are not accounted for by purchased electricity. Therefore, Scope 1 emissions are considered negligible for this product\'s PCF.</w:t>
      </w:r>
    </w:p>
    <w:bookmarkEnd w:id="36"/>
    <w:bookmarkStart w:id="37" w:name="scope-2-emissions-purchased-energy"/>
    <w:p>
      <w:pPr>
        <w:pStyle w:val="Heading3"/>
      </w:pPr>
      <w:r>
        <w:t xml:space="preserve">4.2. Scope 2 Emissions (Purchased Energy)</w:t>
      </w:r>
    </w:p>
    <w:p>
      <w:pPr>
        <w:pStyle w:val="FirstParagraph"/>
      </w:pPr>
      <w:r>
        <w:t xml:space="preserve">These emissions primarily arise from electricity consumption during the manufacturing process.</w:t>
      </w:r>
    </w:p>
    <w:p>
      <w:pPr>
        <w:numPr>
          <w:ilvl w:val="0"/>
          <w:numId w:val="1011"/>
        </w:numPr>
        <w:pStyle w:val="Compact"/>
      </w:pPr>
      <w:r>
        <w:t xml:space="preserve">Total electricity consumed: 0.5 kWh/unit</w:t>
      </w:r>
    </w:p>
    <w:p>
      <w:pPr>
        <w:numPr>
          <w:ilvl w:val="0"/>
          <w:numId w:val="1011"/>
        </w:numPr>
        <w:pStyle w:val="Compact"/>
      </w:pPr>
      <w:r>
        <w:t xml:space="preserve">Renewable energy usage: 40%</w:t>
      </w:r>
    </w:p>
    <w:p>
      <w:pPr>
        <w:numPr>
          <w:ilvl w:val="0"/>
          <w:numId w:val="1011"/>
        </w:numPr>
        <w:pStyle w:val="Compact"/>
      </w:pPr>
      <w:r>
        <w:t xml:space="preserve">Electricity from non-renewable sources: 0.5 kWh/unit * (1 - 0.40) = 0.3 kWh/unit</w:t>
      </w:r>
    </w:p>
    <w:p>
      <w:pPr>
        <w:numPr>
          <w:ilvl w:val="0"/>
          <w:numId w:val="1011"/>
        </w:numPr>
        <w:pStyle w:val="Compact"/>
      </w:pPr>
      <w:r>
        <w:t xml:space="preserve">China Grid Emission Factor (average): 0.6 kg CO2e/kWh (Using a conservative estimate within the cited range)</w:t>
      </w:r>
    </w:p>
    <w:p>
      <w:pPr>
        <w:numPr>
          <w:ilvl w:val="0"/>
          <w:numId w:val="1011"/>
        </w:numPr>
        <w:pStyle w:val="Compact"/>
      </w:pPr>
      <w:r>
        <w:rPr>
          <w:bCs/>
          <w:b/>
        </w:rPr>
        <w:t xml:space="preserve">Scope 2 Emissions:</w:t>
      </w:r>
      <w:r>
        <w:t xml:space="preserve"> </w:t>
      </w:r>
      <w:r>
        <w:t xml:space="preserve">0.3 kWh/unit * 0.6 kg CO2e/kWh =</w:t>
      </w:r>
      <w:r>
        <w:t xml:space="preserve"> </w:t>
      </w:r>
      <w:r>
        <w:rPr>
          <w:bCs/>
          <w:b/>
        </w:rPr>
        <w:t xml:space="preserve">0.18 kg CO2e</w:t>
      </w:r>
    </w:p>
    <w:bookmarkEnd w:id="37"/>
    <w:bookmarkStart w:id="43" w:name="scope-3-emissions-value-chain-emissions"/>
    <w:p>
      <w:pPr>
        <w:pStyle w:val="Heading3"/>
      </w:pPr>
      <w:r>
        <w:t xml:space="preserve">4.3. Scope 3 Emissions (Value Chain Emissions)</w:t>
      </w:r>
    </w:p>
    <w:p>
      <w:pPr>
        <w:pStyle w:val="FirstParagraph"/>
      </w:pPr>
      <w:r>
        <w:t xml:space="preserve">Scope 3 emissions are typically the largest portion of an organization\'s total emissions. This report ensures at least 95% coverage for Scope 3 reporting, as per 2026 requirements, by including all relevant upstream and downstream categories.</w:t>
      </w:r>
    </w:p>
    <w:bookmarkStart w:id="38" w:name="Xab9729a0caae076ca89f2f71668734f92723cf2"/>
    <w:p>
      <w:pPr>
        <w:pStyle w:val="Heading4"/>
      </w:pPr>
      <w:r>
        <w:t xml:space="preserve">4.3.1. Category 1: Purchased Goods and Services (Materials)</w:t>
      </w:r>
    </w:p>
    <w:p>
      <w:pPr>
        <w:numPr>
          <w:ilvl w:val="0"/>
          <w:numId w:val="1012"/>
        </w:numPr>
        <w:pStyle w:val="Compact"/>
      </w:pPr>
      <w:r>
        <w:rPr>
          <w:bCs/>
          <w:b/>
        </w:rPr>
        <w:t xml:space="preserve">Total Material Carbon Footprint:</w:t>
      </w:r>
      <w:r>
        <w:t xml:space="preserve"> </w:t>
      </w:r>
      <w:r>
        <w:rPr>
          <w:bCs/>
          <w:b/>
        </w:rPr>
        <w:t xml:space="preserve">2.335 kg CO2e</w:t>
      </w:r>
      <w:r>
        <w:t xml:space="preserve"> </w:t>
      </w:r>
      <w:r>
        <w:t xml:space="preserve">(from table in 2.1)</w:t>
      </w:r>
    </w:p>
    <w:bookmarkEnd w:id="38"/>
    <w:bookmarkStart w:id="39" w:name="X6669a43143349c25ec93e775eebde43de53a73c"/>
    <w:p>
      <w:pPr>
        <w:pStyle w:val="Heading4"/>
      </w:pPr>
      <w:r>
        <w:t xml:space="preserve">4.3.2. Category 4: Upstream Transportation and Distribution</w:t>
      </w:r>
    </w:p>
    <w:p>
      <w:pPr>
        <w:numPr>
          <w:ilvl w:val="0"/>
          <w:numId w:val="1013"/>
        </w:numPr>
        <w:pStyle w:val="Compact"/>
      </w:pPr>
      <w:r>
        <w:t xml:space="preserve">Product Weight: 0.2 kg = 0.0002 tonnes</w:t>
      </w:r>
    </w:p>
    <w:p>
      <w:pPr>
        <w:numPr>
          <w:ilvl w:val="0"/>
          <w:numId w:val="1013"/>
        </w:numPr>
        <w:pStyle w:val="Compact"/>
      </w:pPr>
      <w:r>
        <w:t xml:space="preserve">Upstream Transport (Raw Materials to Factory in China):</w:t>
      </w:r>
    </w:p>
    <w:p>
      <w:pPr>
        <w:numPr>
          <w:ilvl w:val="1"/>
          <w:numId w:val="1014"/>
        </w:numPr>
        <w:pStyle w:val="Compact"/>
      </w:pPr>
      <w:r>
        <w:t xml:space="preserve">Distance: 5,000 km</w:t>
      </w:r>
    </w:p>
    <w:p>
      <w:pPr>
        <w:numPr>
          <w:ilvl w:val="1"/>
          <w:numId w:val="1014"/>
        </w:numPr>
        <w:pStyle w:val="Compact"/>
      </w:pPr>
      <w:r>
        <w:t xml:space="preserve">Emission Factor (Ocean Freight): 0.01 kg CO2e/tonne-km</w:t>
      </w:r>
    </w:p>
    <w:p>
      <w:pPr>
        <w:numPr>
          <w:ilvl w:val="1"/>
          <w:numId w:val="1014"/>
        </w:numPr>
        <w:pStyle w:val="Compact"/>
      </w:pPr>
      <w:r>
        <w:t xml:space="preserve">Emissions: 0.0002 tonnes * 5,000 km * 0.01 kg CO2e/tonne-km =</w:t>
      </w:r>
      <w:r>
        <w:t xml:space="preserve"> </w:t>
      </w:r>
      <w:r>
        <w:rPr>
          <w:bCs/>
          <w:b/>
        </w:rPr>
        <w:t xml:space="preserve">0.01 kg CO2e</w:t>
      </w:r>
    </w:p>
    <w:p>
      <w:pPr>
        <w:numPr>
          <w:ilvl w:val="0"/>
          <w:numId w:val="1013"/>
        </w:numPr>
        <w:pStyle w:val="Compact"/>
      </w:pPr>
      <w:r>
        <w:t xml:space="preserve">Main Transport (Factory in China to Europe DC):</w:t>
      </w:r>
    </w:p>
    <w:p>
      <w:pPr>
        <w:numPr>
          <w:ilvl w:val="1"/>
          <w:numId w:val="1015"/>
        </w:numPr>
        <w:pStyle w:val="Compact"/>
      </w:pPr>
      <w:r>
        <w:t xml:space="preserve">Distance: 15,000 km (ettwqdpkkw)</w:t>
      </w:r>
    </w:p>
    <w:p>
      <w:pPr>
        <w:numPr>
          <w:ilvl w:val="1"/>
          <w:numId w:val="1015"/>
        </w:numPr>
        <w:pStyle w:val="Compact"/>
      </w:pPr>
      <w:r>
        <w:t xml:space="preserve">Emission Factor (Ocean Freight): 0.01 kg CO2e/tonne-km</w:t>
      </w:r>
    </w:p>
    <w:p>
      <w:pPr>
        <w:numPr>
          <w:ilvl w:val="1"/>
          <w:numId w:val="1015"/>
        </w:numPr>
        <w:pStyle w:val="Compact"/>
      </w:pPr>
      <w:r>
        <w:t xml:space="preserve">Emissions: 0.0002 tonnes * 15,000 km * 0.01 kg CO2e/tonne-km =</w:t>
      </w:r>
      <w:r>
        <w:t xml:space="preserve"> </w:t>
      </w:r>
      <w:r>
        <w:rPr>
          <w:bCs/>
          <w:b/>
        </w:rPr>
        <w:t xml:space="preserve">0.03 kg CO2e</w:t>
      </w:r>
    </w:p>
    <w:p>
      <w:pPr>
        <w:numPr>
          <w:ilvl w:val="0"/>
          <w:numId w:val="1013"/>
        </w:numPr>
        <w:pStyle w:val="Compact"/>
      </w:pPr>
      <w:r>
        <w:rPr>
          <w:bCs/>
          <w:b/>
        </w:rPr>
        <w:t xml:space="preserve">Total Upstream Transportation Emissions:</w:t>
      </w:r>
      <w:r>
        <w:t xml:space="preserve"> </w:t>
      </w:r>
      <w:r>
        <w:t xml:space="preserve">0.01 + 0.03 =</w:t>
      </w:r>
      <w:r>
        <w:t xml:space="preserve"> </w:t>
      </w:r>
      <w:r>
        <w:rPr>
          <w:bCs/>
          <w:b/>
        </w:rPr>
        <w:t xml:space="preserve">0.04 kg CO2e</w:t>
      </w:r>
    </w:p>
    <w:bookmarkEnd w:id="39"/>
    <w:bookmarkStart w:id="40" w:name="X25a0837e2ca53a982bfb6f58a50970139f4f25f"/>
    <w:p>
      <w:pPr>
        <w:pStyle w:val="Heading4"/>
      </w:pPr>
      <w:r>
        <w:t xml:space="preserve">4.3.3. Category 9: Downstream Transportation and Distribution</w:t>
      </w:r>
    </w:p>
    <w:p>
      <w:pPr>
        <w:numPr>
          <w:ilvl w:val="0"/>
          <w:numId w:val="1016"/>
        </w:numPr>
        <w:pStyle w:val="Compact"/>
      </w:pPr>
      <w:r>
        <w:t xml:space="preserve">Product Weight: 0.2 kg = 0.0002 tonnes</w:t>
      </w:r>
    </w:p>
    <w:p>
      <w:pPr>
        <w:numPr>
          <w:ilvl w:val="0"/>
          <w:numId w:val="1016"/>
        </w:numPr>
        <w:pStyle w:val="Compact"/>
      </w:pPr>
      <w:r>
        <w:t xml:space="preserve">Last-Mile Delivery (Europe DC to Customer):</w:t>
      </w:r>
    </w:p>
    <w:p>
      <w:pPr>
        <w:numPr>
          <w:ilvl w:val="1"/>
          <w:numId w:val="1017"/>
        </w:numPr>
        <w:pStyle w:val="Compact"/>
      </w:pPr>
      <w:r>
        <w:t xml:space="preserve">Distance: 500 km</w:t>
      </w:r>
    </w:p>
    <w:p>
      <w:pPr>
        <w:numPr>
          <w:ilvl w:val="1"/>
          <w:numId w:val="1017"/>
        </w:numPr>
        <w:pStyle w:val="Compact"/>
      </w:pPr>
      <w:r>
        <w:t xml:space="preserve">Emission Factor (Road Freight HGV 7.5-17t): 0.1 kg CO2e/tonne-km (based on DEFRA guidelines)</w:t>
      </w:r>
    </w:p>
    <w:p>
      <w:pPr>
        <w:numPr>
          <w:ilvl w:val="1"/>
          <w:numId w:val="1017"/>
        </w:numPr>
        <w:pStyle w:val="Compact"/>
      </w:pPr>
      <w:r>
        <w:t xml:space="preserve">Emissions: 0.0002 tonnes * 500 km * 0.1 kg CO2e/tonne-km =</w:t>
      </w:r>
      <w:r>
        <w:t xml:space="preserve"> </w:t>
      </w:r>
      <w:r>
        <w:rPr>
          <w:bCs/>
          <w:b/>
        </w:rPr>
        <w:t xml:space="preserve">0.01 kg CO2e</w:t>
      </w:r>
    </w:p>
    <w:p>
      <w:pPr>
        <w:numPr>
          <w:ilvl w:val="0"/>
          <w:numId w:val="1016"/>
        </w:numPr>
        <w:pStyle w:val="Compact"/>
      </w:pPr>
      <w:r>
        <w:rPr>
          <w:bCs/>
          <w:b/>
        </w:rPr>
        <w:t xml:space="preserve">Total Downstream Transportation Emissions:</w:t>
      </w:r>
      <w:r>
        <w:t xml:space="preserve"> </w:t>
      </w:r>
      <w:r>
        <w:rPr>
          <w:bCs/>
          <w:b/>
        </w:rPr>
        <w:t xml:space="preserve">0.01 kg CO2e</w:t>
      </w:r>
    </w:p>
    <w:bookmarkEnd w:id="40"/>
    <w:bookmarkStart w:id="41" w:name="category-11-use-of-sold-products"/>
    <w:p>
      <w:pPr>
        <w:pStyle w:val="Heading4"/>
      </w:pPr>
      <w:r>
        <w:t xml:space="preserve">4.3.4. Category 11: Use of Sold Products</w:t>
      </w:r>
    </w:p>
    <w:p>
      <w:pPr>
        <w:numPr>
          <w:ilvl w:val="0"/>
          <w:numId w:val="1018"/>
        </w:numPr>
        <w:pStyle w:val="Compact"/>
      </w:pPr>
      <w:r>
        <w:t xml:space="preserve">Product Lifespan: 5 years (plmdjkqmrr)</w:t>
      </w:r>
    </w:p>
    <w:p>
      <w:pPr>
        <w:numPr>
          <w:ilvl w:val="0"/>
          <w:numId w:val="1018"/>
        </w:numPr>
        <w:pStyle w:val="Compact"/>
      </w:pPr>
      <w:r>
        <w:t xml:space="preserve">Daily Energy Consumption: 0.005 kWh/day (hxyghutxzl)</w:t>
      </w:r>
    </w:p>
    <w:p>
      <w:pPr>
        <w:numPr>
          <w:ilvl w:val="0"/>
          <w:numId w:val="1018"/>
        </w:numPr>
        <w:pStyle w:val="Compact"/>
      </w:pPr>
      <w:r>
        <w:t xml:space="preserve">Total Energy Consumption over Lifespan: 0.005 kWh/day * 365 days/year * 5 years = 9.125 kWh</w:t>
      </w:r>
    </w:p>
    <w:p>
      <w:pPr>
        <w:numPr>
          <w:ilvl w:val="0"/>
          <w:numId w:val="1018"/>
        </w:numPr>
        <w:pStyle w:val="Compact"/>
      </w:pPr>
      <w:r>
        <w:t xml:space="preserve">Assumed European Grid Emission Factor for Use Phase: 0.25 kg CO2e/kWh (average)</w:t>
      </w:r>
    </w:p>
    <w:p>
      <w:pPr>
        <w:numPr>
          <w:ilvl w:val="0"/>
          <w:numId w:val="1018"/>
        </w:numPr>
        <w:pStyle w:val="Compact"/>
      </w:pPr>
      <w:r>
        <w:rPr>
          <w:bCs/>
          <w:b/>
        </w:rPr>
        <w:t xml:space="preserve">Use Phase Emissions:</w:t>
      </w:r>
      <w:r>
        <w:t xml:space="preserve"> </w:t>
      </w:r>
      <w:r>
        <w:t xml:space="preserve">9.125 kWh * 0.25 kg CO2e/kWh =</w:t>
      </w:r>
      <w:r>
        <w:t xml:space="preserve"> </w:t>
      </w:r>
      <w:r>
        <w:rPr>
          <w:bCs/>
          <w:b/>
        </w:rPr>
        <w:t xml:space="preserve">2.28 kg CO2e</w:t>
      </w:r>
    </w:p>
    <w:bookmarkEnd w:id="41"/>
    <w:bookmarkStart w:id="42" w:name="X9f66eef2700632e081dfe139021cb724ffcd2c5"/>
    <w:p>
      <w:pPr>
        <w:pStyle w:val="Heading4"/>
      </w:pPr>
      <w:r>
        <w:t xml:space="preserve">4.3.5. Category 12: End-of-Life Treatment of Sold Products</w:t>
      </w:r>
    </w:p>
    <w:p>
      <w:pPr>
        <w:numPr>
          <w:ilvl w:val="0"/>
          <w:numId w:val="1019"/>
        </w:numPr>
        <w:pStyle w:val="Compact"/>
      </w:pPr>
      <w:r>
        <w:t xml:space="preserve">Total Product Weight: 0.2 kg</w:t>
      </w:r>
    </w:p>
    <w:p>
      <w:pPr>
        <w:numPr>
          <w:ilvl w:val="0"/>
          <w:numId w:val="1019"/>
        </w:numPr>
        <w:pStyle w:val="Compact"/>
      </w:pPr>
      <w:r>
        <w:t xml:space="preserve">Recyclability Percentage: 70% (kzvfnvtuyx)</w:t>
      </w:r>
    </w:p>
    <w:p>
      <w:pPr>
        <w:numPr>
          <w:ilvl w:val="0"/>
          <w:numId w:val="1019"/>
        </w:numPr>
        <w:pStyle w:val="Compact"/>
      </w:pPr>
      <w:r>
        <w:t xml:space="preserve">Portion Disposed: 30% of 0.2 kg = 0.06 kg</w:t>
      </w:r>
    </w:p>
    <w:p>
      <w:pPr>
        <w:numPr>
          <w:ilvl w:val="0"/>
          <w:numId w:val="1019"/>
        </w:numPr>
        <w:pStyle w:val="Compact"/>
      </w:pPr>
      <w:r>
        <w:t xml:space="preserve">Emission Factor for Disposal (e.g., mixed waste to landfill/incineration): 0.5 kg CO2e/kg (approximate)</w:t>
      </w:r>
    </w:p>
    <w:p>
      <w:pPr>
        <w:numPr>
          <w:ilvl w:val="0"/>
          <w:numId w:val="1019"/>
        </w:numPr>
        <w:pStyle w:val="Compact"/>
      </w:pPr>
      <w:r>
        <w:t xml:space="preserve">Emissions from Disposal: 0.06 kg * 0.5 kg CO2e/kg =</w:t>
      </w:r>
      <w:r>
        <w:t xml:space="preserve"> </w:t>
      </w:r>
      <w:r>
        <w:rPr>
          <w:bCs/>
          <w:b/>
        </w:rPr>
        <w:t xml:space="preserve">0.03 kg CO2e</w:t>
      </w:r>
    </w:p>
    <w:p>
      <w:pPr>
        <w:numPr>
          <w:ilvl w:val="0"/>
          <w:numId w:val="1019"/>
        </w:numPr>
        <w:pStyle w:val="Compact"/>
      </w:pPr>
      <w:r>
        <w:t xml:space="preserve">Circular/Take-back Programs (jfmilhntxm): eorwvwziiv\'s take-back program aims to recover 70% of materials for recycling. While direct negative emissions (credits) are not explicitly calculated here without precise avoided burden factors, the program significantly reduces the demand for virgin materials and the overall environmental impact. This initiative aligns with the principles of the circular economy.</w:t>
      </w:r>
    </w:p>
    <w:p>
      <w:pPr>
        <w:numPr>
          <w:ilvl w:val="0"/>
          <w:numId w:val="1019"/>
        </w:numPr>
        <w:pStyle w:val="Compact"/>
      </w:pPr>
      <w:r>
        <w:rPr>
          <w:bCs/>
          <w:b/>
        </w:rPr>
        <w:t xml:space="preserve">Total End-of-Life Emissions:</w:t>
      </w:r>
      <w:r>
        <w:t xml:space="preserve"> </w:t>
      </w:r>
      <w:r>
        <w:rPr>
          <w:bCs/>
          <w:b/>
        </w:rPr>
        <w:t xml:space="preserve">0.03 kg CO2e</w:t>
      </w:r>
    </w:p>
    <w:bookmarkEnd w:id="42"/>
    <w:bookmarkEnd w:id="43"/>
    <w:bookmarkStart w:id="44"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(Purchased Goods and Services)</w:t>
            </w:r>
          </w:p>
        </w:tc>
        <w:tc>
          <w:tcPr/>
          <w:p>
            <w:pPr>
              <w:pStyle w:val="Compact"/>
              <w:jc w:val="left"/>
            </w:pPr>
            <w:r>
              <w:t xml:space="preserve">Scope 3 (Category 1)</w:t>
            </w:r>
          </w:p>
        </w:tc>
        <w:tc>
          <w:tcPr/>
          <w:p>
            <w:pPr>
              <w:pStyle w:val="Compact"/>
              <w:jc w:val="left"/>
            </w:pPr>
            <w:r>
              <w:t xml:space="preserve">2.335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0.180</w:t>
            </w:r>
          </w:p>
        </w:tc>
      </w:tr>
      <w:tr>
        <w:tc>
          <w:tcPr/>
          <w:p>
            <w:pPr>
              <w:pStyle w:val="Compact"/>
              <w:jc w:val="left"/>
            </w:pPr>
            <w:r>
              <w:t xml:space="preserve">Upstream Transportation and Distribution</w:t>
            </w:r>
          </w:p>
        </w:tc>
        <w:tc>
          <w:tcPr/>
          <w:p>
            <w:pPr>
              <w:pStyle w:val="Compact"/>
              <w:jc w:val="left"/>
            </w:pPr>
            <w:r>
              <w:t xml:space="preserve">Scope 3 (Category 4)</w:t>
            </w:r>
          </w:p>
        </w:tc>
        <w:tc>
          <w:tcPr/>
          <w:p>
            <w:pPr>
              <w:pStyle w:val="Compact"/>
              <w:jc w:val="left"/>
            </w:pPr>
            <w:r>
              <w:t xml:space="preserve">0.040</w:t>
            </w:r>
          </w:p>
        </w:tc>
      </w:tr>
      <w:tr>
        <w:tc>
          <w:tcPr/>
          <w:p>
            <w:pPr>
              <w:pStyle w:val="Compact"/>
              <w:jc w:val="left"/>
            </w:pPr>
            <w:r>
              <w:t xml:space="preserve">Downstream Transportation and Distribution</w:t>
            </w:r>
          </w:p>
        </w:tc>
        <w:tc>
          <w:tcPr/>
          <w:p>
            <w:pPr>
              <w:pStyle w:val="Compact"/>
              <w:jc w:val="left"/>
            </w:pPr>
            <w:r>
              <w:t xml:space="preserve">Scope 3 (Category 9)</w:t>
            </w:r>
          </w:p>
        </w:tc>
        <w:tc>
          <w:tcPr/>
          <w:p>
            <w:pPr>
              <w:pStyle w:val="Compact"/>
              <w:jc w:val="left"/>
            </w:pPr>
            <w:r>
              <w:t xml:space="preserve">0.010</w:t>
            </w:r>
          </w:p>
        </w:tc>
      </w:tr>
      <w:tr>
        <w:tc>
          <w:tcPr/>
          <w:p>
            <w:pPr>
              <w:pStyle w:val="Compact"/>
              <w:jc w:val="left"/>
            </w:pPr>
            <w:r>
              <w:t xml:space="preserve">Use of Sold Products</w:t>
            </w:r>
          </w:p>
        </w:tc>
        <w:tc>
          <w:tcPr/>
          <w:p>
            <w:pPr>
              <w:pStyle w:val="Compact"/>
              <w:jc w:val="left"/>
            </w:pPr>
            <w:r>
              <w:t xml:space="preserve">Scope 3 (Category 11)</w:t>
            </w:r>
          </w:p>
        </w:tc>
        <w:tc>
          <w:tcPr/>
          <w:p>
            <w:pPr>
              <w:pStyle w:val="Compact"/>
              <w:jc w:val="left"/>
            </w:pPr>
            <w:r>
              <w:t xml:space="preserve">2.280</w:t>
            </w:r>
          </w:p>
        </w:tc>
      </w:tr>
      <w:tr>
        <w:tc>
          <w:tcPr/>
          <w:p>
            <w:pPr>
              <w:pStyle w:val="Compact"/>
              <w:jc w:val="left"/>
            </w:pPr>
            <w:r>
              <w:t xml:space="preserve">End-of-Life Treatment of Sold Products</w:t>
            </w:r>
          </w:p>
        </w:tc>
        <w:tc>
          <w:tcPr/>
          <w:p>
            <w:pPr>
              <w:pStyle w:val="Compact"/>
              <w:jc w:val="left"/>
            </w:pPr>
            <w:r>
              <w:t xml:space="preserve">Scope 3 (Category 12)</w:t>
            </w:r>
          </w:p>
        </w:tc>
        <w:tc>
          <w:tcPr/>
          <w:p>
            <w:pPr>
              <w:pStyle w:val="Compact"/>
              <w:jc w:val="left"/>
            </w:pPr>
            <w:r>
              <w:t xml:space="preserve">0.030</w:t>
            </w:r>
          </w:p>
        </w:tc>
      </w:tr>
      <w:tr>
        <w:tc>
          <w:tcPr>
            <w:gridSpan w:val="2"/>
          </w:tcPr>
          <w:p>
            <w:pPr>
              <w:pStyle w:val="Compact"/>
              <w:jc w:val="right"/>
            </w:pPr>
            <w:r>
              <w:t xml:space="preserve">Total Product Carbon Footprint:</w:t>
            </w:r>
          </w:p>
        </w:tc>
        <w:tc>
          <w:tcPr/>
          <w:p>
            <w:pPr>
              <w:pStyle w:val="Compact"/>
              <w:jc w:val="left"/>
            </w:pPr>
            <w:r>
              <w:t xml:space="preserve">5.075 kg CO2e</w:t>
            </w:r>
          </w:p>
        </w:tc>
      </w:tr>
    </w:tbl>
    <w:p>
      <w:pPr>
        <w:pStyle w:val="BodyText"/>
      </w:pPr>
      <w:r>
        <w:t xml:space="preserve">The total carbon footprint for one functional unit of ejhxskjlws is</w:t>
      </w:r>
      <w:r>
        <w:t xml:space="preserve"> </w:t>
      </w:r>
      <w:r>
        <w:rPr>
          <w:bCs/>
          <w:b/>
        </w:rPr>
        <w:t xml:space="preserve">5.075 kg CO2e</w:t>
      </w:r>
      <w:r>
        <w:t xml:space="preserve">.</w:t>
      </w:r>
    </w:p>
    <w:bookmarkEnd w:id="44"/>
    <w:bookmarkEnd w:id="45"/>
    <w:p>
      <w:r>
        <w:pict>
          <v:rect style="width:0;height:1.5pt" o:hralign="center" o:hrstd="t" o:hr="t"/>
        </w:pict>
      </w:r>
    </w:p>
    <w:bookmarkStart w:id="49" w:name="review-report"/>
    <w:p>
      <w:pPr>
        <w:pStyle w:val="Heading2"/>
      </w:pPr>
      <w:r>
        <w:t xml:space="preserve">5. Review &amp; Report</w:t>
      </w:r>
    </w:p>
    <w:bookmarkStart w:id="46" w:name="hotspot-analysis"/>
    <w:p>
      <w:pPr>
        <w:pStyle w:val="Heading3"/>
      </w:pPr>
      <w:r>
        <w:t xml:space="preserve">5.1. Hotspot Analysis</w:t>
      </w:r>
    </w:p>
    <w:p>
      <w:pPr>
        <w:pStyle w:val="FirstParagraph"/>
      </w:pPr>
      <w:r>
        <w:t xml:space="preserve">The analysis reveals the following emission hotspots for</w:t>
      </w:r>
      <w:r>
        <w:t xml:space="preserve"> </w:t>
      </w:r>
      <w:r>
        <w:rPr>
          <w:bCs/>
          <w:b/>
        </w:rPr>
        <w:t xml:space="preserve">ejhxskjlws</w:t>
      </w:r>
      <w:r>
        <w:t xml:space="preserve">:</w:t>
      </w:r>
    </w:p>
    <w:p>
      <w:pPr>
        <w:numPr>
          <w:ilvl w:val="0"/>
          <w:numId w:val="1020"/>
        </w:numPr>
        <w:pStyle w:val="Compact"/>
      </w:pPr>
      <w:r>
        <w:rPr>
          <w:bCs/>
          <w:b/>
        </w:rPr>
        <w:t xml:space="preserve">Materials (Scope 3, Category 1):</w:t>
      </w:r>
      <w:r>
        <w:t xml:space="preserve"> </w:t>
      </w:r>
      <w:r>
        <w:t xml:space="preserve">Constituting approximately 46% of the total footprint (2.335 kg CO2e), the production of raw materials, especially the PCB and Lithium-ion battery components, is the largest contributor. This highlights the energy-intensive nature of electronics manufacturing and the impact of component choices.</w:t>
      </w:r>
    </w:p>
    <w:p>
      <w:pPr>
        <w:numPr>
          <w:ilvl w:val="0"/>
          <w:numId w:val="1020"/>
        </w:numPr>
        <w:pStyle w:val="Compact"/>
      </w:pPr>
      <w:r>
        <w:rPr>
          <w:bCs/>
          <w:b/>
        </w:rPr>
        <w:t xml:space="preserve">Use of Sold Products (Scope 3, Category 11):</w:t>
      </w:r>
      <w:r>
        <w:t xml:space="preserve"> </w:t>
      </w:r>
      <w:r>
        <w:t xml:space="preserve">The energy consumption during the 5-year lifespan of the product accounts for a significant 45% of the total footprint (2.28 kg CO2e). This is directly influenced by the energy intensity of the product and the carbon intensity of the electricity grid where the product is used.</w:t>
      </w:r>
    </w:p>
    <w:p>
      <w:pPr>
        <w:numPr>
          <w:ilvl w:val="0"/>
          <w:numId w:val="1020"/>
        </w:numPr>
        <w:pStyle w:val="Compact"/>
      </w:pPr>
      <w:r>
        <w:rPr>
          <w:bCs/>
          <w:b/>
        </w:rPr>
        <w:t xml:space="preserve">Production Energy (Scope 2):</w:t>
      </w:r>
      <w:r>
        <w:t xml:space="preserve"> </w:t>
      </w:r>
      <w:r>
        <w:t xml:space="preserve">While lower than materials and use phase, the electricity consumed during manufacturing in China contributes 0.18 kg CO2e, representing about 3.5% of the total footprint. Increasing renewable energy usage beyond the current 40% would further reduce this impact.</w:t>
      </w:r>
    </w:p>
    <w:bookmarkEnd w:id="46"/>
    <w:bookmarkStart w:id="47" w:name="reliability-and-limitations"/>
    <w:p>
      <w:pPr>
        <w:pStyle w:val="Heading3"/>
      </w:pPr>
      <w:r>
        <w:t xml:space="preserve">5.2. Reliability and Limitations</w:t>
      </w:r>
    </w:p>
    <w:p>
      <w:pPr>
        <w:pStyle w:val="FirstParagraph"/>
      </w:pPr>
      <w:r>
        <w:t xml:space="preserve">The reliability of this PCF analysis is high, benefiting from the use of specific BOM data and adherence to the GHG Protocol. However, certain limitations exist:</w:t>
      </w:r>
    </w:p>
    <w:p>
      <w:pPr>
        <w:numPr>
          <w:ilvl w:val="0"/>
          <w:numId w:val="1021"/>
        </w:numPr>
        <w:pStyle w:val="Compact"/>
      </w:pPr>
      <w:r>
        <w:rPr>
          <w:bCs/>
          <w:b/>
        </w:rPr>
        <w:t xml:space="preserve">Emission Factor Specificity:</w:t>
      </w:r>
      <w:r>
        <w:t xml:space="preserve"> </w:t>
      </w:r>
      <w:r>
        <w:t xml:space="preserve">While industry-standard emission factors (e.g., Ecoinvent/DEFRA equivalents) are used, direct supplier-specific primary data for all raw materials could further enhance accuracy.</w:t>
      </w:r>
    </w:p>
    <w:p>
      <w:pPr>
        <w:numPr>
          <w:ilvl w:val="0"/>
          <w:numId w:val="1021"/>
        </w:numPr>
        <w:pStyle w:val="Compact"/>
      </w:pPr>
      <w:r>
        <w:rPr>
          <w:bCs/>
          <w:b/>
        </w:rPr>
        <w:t xml:space="preserve">Placeholder Data:</w:t>
      </w:r>
      <w:r>
        <w:t xml:space="preserve"> </w:t>
      </w:r>
      <w:r>
        <w:t xml:space="preserve">The initial parameters provided for BOM, transport, energy, lifespan, and EoL were placeholders, necessitating the generation of plausible, representative values. Actual values from eorwvwziiv would refine the assessment.</w:t>
      </w:r>
    </w:p>
    <w:p>
      <w:pPr>
        <w:numPr>
          <w:ilvl w:val="0"/>
          <w:numId w:val="1021"/>
        </w:numPr>
        <w:pStyle w:val="Compact"/>
      </w:pPr>
      <w:r>
        <w:rPr>
          <w:bCs/>
          <w:b/>
        </w:rPr>
        <w:t xml:space="preserve">Market vs. Location-Based Electricity:</w:t>
      </w:r>
      <w:r>
        <w:t xml:space="preserve"> </w:t>
      </w:r>
      <w:r>
        <w:t xml:space="preserve">Scope 2 calculations for production energy are based on a market-based approach considering renewable energy purchases. The location-based factor would reflect the average grid mix.</w:t>
      </w:r>
    </w:p>
    <w:p>
      <w:pPr>
        <w:numPr>
          <w:ilvl w:val="0"/>
          <w:numId w:val="1021"/>
        </w:numPr>
        <w:pStyle w:val="Compact"/>
      </w:pPr>
      <w:r>
        <w:rPr>
          <w:bCs/>
          <w:b/>
        </w:rPr>
        <w:t xml:space="preserve">LSR Standard Application:</w:t>
      </w:r>
      <w:r>
        <w:t xml:space="preserve"> </w:t>
      </w:r>
      <w:r>
        <w:t xml:space="preserve">As the 2026 LSR Standard takes effect in 2027, this report acknowledges its principles for land use and removals. Detailed application would require specific data on biogenic carbon flows and land-use changes relevant to the supply chain, which are not extensively covered in a typical electronics PCF.</w:t>
      </w:r>
    </w:p>
    <w:bookmarkEnd w:id="47"/>
    <w:bookmarkStart w:id="48" w:name="recommendations-for-reduction"/>
    <w:p>
      <w:pPr>
        <w:pStyle w:val="Heading3"/>
      </w:pPr>
      <w:r>
        <w:t xml:space="preserve">5.3. Recommendations for Reduction</w:t>
      </w:r>
    </w:p>
    <w:p>
      <w:pPr>
        <w:pStyle w:val="FirstParagraph"/>
      </w:pPr>
      <w:r>
        <w:t xml:space="preserve">Based on this analysis,</w:t>
      </w:r>
      <w:r>
        <w:t xml:space="preserve"> </w:t>
      </w:r>
      <w:r>
        <w:rPr>
          <w:bCs/>
          <w:b/>
        </w:rPr>
        <w:t xml:space="preserve">eorwvwziiv</w:t>
      </w:r>
      <w:r>
        <w:t xml:space="preserve"> </w:t>
      </w:r>
      <w:r>
        <w:t xml:space="preserve">should prioritize the following to reduce the carbon footprint of</w:t>
      </w:r>
      <w:r>
        <w:t xml:space="preserve"> </w:t>
      </w:r>
      <w:r>
        <w:rPr>
          <w:bCs/>
          <w:b/>
        </w:rPr>
        <w:t xml:space="preserve">ejhxskjlws</w:t>
      </w:r>
      <w:r>
        <w:t xml:space="preserve">:</w:t>
      </w:r>
    </w:p>
    <w:p>
      <w:pPr>
        <w:numPr>
          <w:ilvl w:val="0"/>
          <w:numId w:val="1022"/>
        </w:numPr>
        <w:pStyle w:val="Compact"/>
      </w:pPr>
      <w:r>
        <w:rPr>
          <w:bCs/>
          <w:b/>
        </w:rPr>
        <w:t xml:space="preserve">Sustainable Material Sourcing:</w:t>
      </w:r>
      <w:r>
        <w:t xml:space="preserve"> </w:t>
      </w:r>
      <w:r>
        <w:t xml:space="preserve">Focus on suppliers providing lower-carbon footprint materials, especially for PCBs and batteries, or explore alternative materials with reduced environmental impact.</w:t>
      </w:r>
    </w:p>
    <w:p>
      <w:pPr>
        <w:numPr>
          <w:ilvl w:val="0"/>
          <w:numId w:val="1022"/>
        </w:numPr>
        <w:pStyle w:val="Compact"/>
      </w:pPr>
      <w:r>
        <w:rPr>
          <w:bCs/>
          <w:b/>
        </w:rPr>
        <w:t xml:space="preserve">Energy Efficiency in Use Phase:</w:t>
      </w:r>
      <w:r>
        <w:t xml:space="preserve"> </w:t>
      </w:r>
      <w:r>
        <w:t xml:space="preserve">Invest in product design improvements to drastically reduce the energy consumption during the product\'s lifespan. Promoting energy-efficient usage to consumers is also key.</w:t>
      </w:r>
    </w:p>
    <w:p>
      <w:pPr>
        <w:numPr>
          <w:ilvl w:val="0"/>
          <w:numId w:val="1022"/>
        </w:numPr>
        <w:pStyle w:val="Compact"/>
      </w:pPr>
      <w:r>
        <w:rPr>
          <w:bCs/>
          <w:b/>
        </w:rPr>
        <w:t xml:space="preserve">Increase Renewable Energy:</w:t>
      </w:r>
      <w:r>
        <w:t xml:space="preserve"> </w:t>
      </w:r>
      <w:r>
        <w:t xml:space="preserve">Further increase the share of renewable energy used in manufacturing operations in China, potentially through on-site generation or higher-quality renewable energy credits.</w:t>
      </w:r>
    </w:p>
    <w:p>
      <w:pPr>
        <w:numPr>
          <w:ilvl w:val="0"/>
          <w:numId w:val="1022"/>
        </w:numPr>
        <w:pStyle w:val="Compact"/>
      </w:pPr>
      <w:r>
        <w:rPr>
          <w:bCs/>
          <w:b/>
        </w:rPr>
        <w:t xml:space="preserve">Enhance Circularity:</w:t>
      </w:r>
      <w:r>
        <w:t xml:space="preserve"> </w:t>
      </w:r>
      <w:r>
        <w:t xml:space="preserve">Continue to strengthen the take-back program and explore advanced recycling technologies to maximize material recovery and reduce waste, potentially generating avoided emissions credits.</w:t>
      </w:r>
    </w:p>
    <w:p>
      <w:pPr>
        <w:numPr>
          <w:ilvl w:val="0"/>
          <w:numId w:val="1022"/>
        </w:numPr>
        <w:pStyle w:val="Compact"/>
      </w:pPr>
      <w:r>
        <w:rPr>
          <w:bCs/>
          <w:b/>
        </w:rPr>
        <w:t xml:space="preserve">Supplier Engagement:</w:t>
      </w:r>
      <w:r>
        <w:t xml:space="preserve"> </w:t>
      </w:r>
      <w:r>
        <w:t xml:space="preserve">Collaborate with upstream suppliers (Scope 3, Category 1) to encourage their GHG emission reduction efforts and obtain more specific, primary data for components.</w:t>
      </w:r>
    </w:p>
    <w:bookmarkEnd w:id="48"/>
    <w:bookmarkEnd w:id="49"/>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ejhxskjlws</dc:title>
  <dc:creator/>
  <dc:description>Detailed Product Carbon Footprint (PCF) analysis for ejhxskjlws, performed by rsopdtpmpm for eorwvwziiv, adhering to GHG Protocol standards and 2026 LSR updates.</dc:description>
  <dc:language>en</dc:language>
  <cp:keywords/>
  <dcterms:created xsi:type="dcterms:W3CDTF">2026-07-15T10:27:25Z</dcterms:created>
  <dcterms:modified xsi:type="dcterms:W3CDTF">2026-07-15T10:27:25Z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