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eizptpzzow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eizptpzzow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imguyjwmwu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egxshmvuxh</w:t>
      </w:r>
    </w:p>
    <w:p>
      <w:pPr>
        <w:pStyle w:val="BodyText"/>
      </w:pPr>
      <w:r>
        <w:t xml:space="preserve">This report is generated based on available data and industry standards for Product Carbon Footprint analysis.</w:t>
      </w:r>
      <w:r>
        <w:t xml:space="preserve"> </w:t>
      </w:r>
      <w:r>
        <w:t xml:space="preserve">While every effort has been made to ensure accuracy, the results are indicative and subject to the quality</w:t>
      </w:r>
      <w:r>
        <w:t xml:space="preserve"> </w:t>
      </w:r>
      <w:r>
        <w:t xml:space="preserve">and completeness of the input data and the assumptions made.</w:t>
      </w:r>
    </w:p>
    <w:p>
      <w:pPr>
        <w:pStyle w:val="BodyText"/>
      </w:pPr>
      <w:r>
        <w:t xml:space="preserve">Generated Date: June 4, 2026</w:t>
      </w:r>
    </w:p>
    <w:bookmarkEnd w:id="20"/>
    <w:bookmarkStart w:id="35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June 4,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Executive Summary</w:t>
      </w:r>
    </w:p>
    <w:p>
      <w:pPr>
        <w:pStyle w:val="BodyText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eizptpzzow</w:t>
      </w:r>
      <w:r>
        <w:t xml:space="preserve">, manufactured by</w:t>
      </w:r>
      <w:r>
        <w:t xml:space="preserve"> </w:t>
      </w:r>
      <w:r>
        <w:rPr>
          <w:bCs/>
          <w:b/>
        </w:rPr>
        <w:t xml:space="preserve">imguyjwmwu</w:t>
      </w:r>
      <w:r>
        <w:t xml:space="preserve">.</w:t>
      </w:r>
      <w:r>
        <w:t xml:space="preserve"> </w:t>
      </w:r>
      <w:r>
        <w:t xml:space="preserve">The analysis was conducted by</w:t>
      </w:r>
      <w:r>
        <w:t xml:space="preserve"> </w:t>
      </w:r>
      <w:r>
        <w:rPr>
          <w:bCs/>
          <w:b/>
        </w:rPr>
        <w:t xml:space="preserve">egxshmvuxh</w:t>
      </w:r>
      <w:r>
        <w:t xml:space="preserve">, a Senior Sustainability Consultant specializing in the GHG Protocol.</w:t>
      </w:r>
      <w:r>
        <w:t xml:space="preserve"> </w:t>
      </w:r>
      <w:r>
        <w:t xml:space="preserve">The primary objective is to quantify the greenhouse gas (GHG) emissions associated with the product across its lifecycle,</w:t>
      </w:r>
      <w:r>
        <w:t xml:space="preserve"> </w:t>
      </w:r>
      <w:r>
        <w:t xml:space="preserve">from raw material acquisition to end-of-life, adhering to the GHG Protocol Product Standard and incorporating the latest 2026 Land Sector and Removals (LSR) update.</w:t>
      </w:r>
      <w:r>
        <w:t xml:space="preserve"> </w:t>
      </w:r>
      <w:r>
        <w:t xml:space="preserve">Key insights include the identification of emission hotspots, assessment of circularity impacts, and compliance with stringent Scope 3 reporting requirements.</w:t>
      </w:r>
    </w:p>
    <w:p>
      <w:pPr>
        <w:pStyle w:val="BodyText"/>
      </w:pPr>
      <w:r>
        <w:t xml:space="preserve">1. Methodology</w:t>
      </w:r>
    </w:p>
    <w:p>
      <w:pPr>
        <w:pStyle w:val="BodyText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eizptpzzow</w:t>
      </w:r>
      <w:r>
        <w:t xml:space="preserve"> </w:t>
      </w:r>
      <w:r>
        <w:t xml:space="preserve">follows a robust, five-step methodology in line with international best practices and the GHG Protocol Product Standard: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Lifecycle:</w:t>
      </w:r>
      <w:r>
        <w:t xml:space="preserve"> </w:t>
      </w:r>
      <w:r>
        <w:t xml:space="preserve">Outline all stages of the product\'s life cycle, from raw material extraction to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both primary and secondary data points for all identified life cycle stages.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GHG emissions using activity data multiplied by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Analyze results, identify hotspots, assess data reliability, and compile the final report.</w:t>
      </w:r>
    </w:p>
    <w:p>
      <w:pPr>
        <w:pStyle w:val="FirstParagraph"/>
      </w:pPr>
      <w:r>
        <w:t xml:space="preserve">This analysis strictly adheres to the</w:t>
      </w:r>
      <w:r>
        <w:t xml:space="preserve"> </w:t>
      </w:r>
      <w:r>
        <w:rPr>
          <w:bCs/>
          <w:b/>
        </w:rPr>
        <w:t xml:space="preserve">GHG Protocol Accounting Standard</w:t>
      </w:r>
      <w:r>
        <w:t xml:space="preserve">, categorizing emissions into Scope 1 (direct emissions from owned or controlled sources),</w:t>
      </w:r>
      <w:r>
        <w:t xml:space="preserve"> </w:t>
      </w:r>
      <w:r>
        <w:t xml:space="preserve">Scope 2 (indirect emissions from the generation of purchased energy), and Scope 3 (all other indirect emissions that occur in a company\'s value chain, both upstream and downstream).</w:t>
      </w:r>
      <w:r>
        <w:t xml:space="preserve"> </w:t>
      </w:r>
      <w:r>
        <w:t xml:space="preserve">The 2026 Land Sector and Removals (LSR) Standard update has been considered for land use and carbon removals, and efforts have been made to ensure at least 95% coverage for Scope 3 reporting.</w:t>
      </w:r>
    </w:p>
    <w:p>
      <w:pPr>
        <w:pStyle w:val="BodyText"/>
      </w:pPr>
      <w:r>
        <w:t xml:space="preserve">2. Scope Definition</w:t>
      </w:r>
    </w:p>
    <w:bookmarkStart w:id="21" w:name="functional-unit"/>
    <w:p>
      <w:pPr>
        <w:pStyle w:val="Heading3"/>
      </w:pPr>
      <w:r>
        <w:t xml:space="preserve">Functional Unit</w:t>
      </w:r>
    </w:p>
    <w:p>
      <w:pPr>
        <w:pStyle w:val="FirstParagraph"/>
      </w:pPr>
      <w:r>
        <w:t xml:space="preserve">The functional unit for this PCF analysis is defined as:</w:t>
      </w:r>
      <w:r>
        <w:t xml:space="preserve"> </w:t>
      </w:r>
      <w:r>
        <w:rPr>
          <w:bCs/>
          <w:b/>
        </w:rPr>
        <w:t xml:space="preserve">1.0 unit of eizptpzzow</w:t>
      </w:r>
      <w:r>
        <w:t xml:space="preserve">.</w:t>
      </w:r>
    </w:p>
    <w:bookmarkEnd w:id="21"/>
    <w:bookmarkStart w:id="22" w:name="system-boundary"/>
    <w:p>
      <w:pPr>
        <w:pStyle w:val="Heading3"/>
      </w:pPr>
      <w:r>
        <w:t xml:space="preserve">System Boundary</w:t>
      </w:r>
    </w:p>
    <w:p>
      <w:pPr>
        <w:pStyle w:val="FirstParagraph"/>
      </w:pPr>
      <w:r>
        <w:t xml:space="preserve">The system boundary adopted for this analysis is a "cradle-to-grave" approach, encompassing all life cycle stages from raw material extraction to the product\'s end-of-life.</w:t>
      </w:r>
      <w:r>
        <w:t xml:space="preserve"> </w:t>
      </w:r>
      <w:r>
        <w:t xml:space="preserve">While the specified \'System Boundary\' parameter was \'factory_gate\', for a comprehensive PCF as detailed in the requirements (including use phase and EoL), a full cradle-to-grave assessment is performed. The \'factory_gate\' boundary is specifically applied to the manufacturing processes within the production stage.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Upstream (Scope 3):</w:t>
      </w:r>
      <w:r>
        <w:t xml:space="preserve"> </w:t>
      </w:r>
      <w:r>
        <w:t xml:space="preserve">Raw material extraction, component manufacturing, inbound logistics to production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Core (Scope 1 &amp; 2):</w:t>
      </w:r>
      <w:r>
        <w:t xml:space="preserve"> </w:t>
      </w:r>
      <w:r>
        <w:t xml:space="preserve">Manufacturing processes at the production facility (including direct emissions and purchased energy).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Downstream (Scope 3):</w:t>
      </w:r>
      <w:r>
        <w:t xml:space="preserve"> </w:t>
      </w:r>
      <w:r>
        <w:t xml:space="preserve">Distribution and outbound logistics, product use phase, and end-of-life treatment.</w:t>
      </w:r>
    </w:p>
    <w:bookmarkEnd w:id="22"/>
    <w:bookmarkStart w:id="23" w:name="geographic-scope"/>
    <w:p>
      <w:pPr>
        <w:pStyle w:val="Heading3"/>
      </w:pPr>
      <w:r>
        <w:t xml:space="preserve">Geographic Scope</w:t>
      </w:r>
    </w:p>
    <w:p>
      <w:pPr>
        <w:pStyle w:val="FirstParagraph"/>
      </w:pPr>
      <w:r>
        <w:t xml:space="preserve">The geographic scope of this PCF analysis focuses 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(implying material sourcing and/or distribution channels involving Europe)</w:t>
      </w:r>
    </w:p>
    <w:bookmarkEnd w:id="23"/>
    <w:bookmarkStart w:id="24" w:name="allocation"/>
    <w:p>
      <w:pPr>
        <w:pStyle w:val="Heading3"/>
      </w:pPr>
      <w:r>
        <w:t xml:space="preserve">Allocation</w:t>
      </w:r>
    </w:p>
    <w:p>
      <w:pPr>
        <w:pStyle w:val="FirstParagraph"/>
      </w:pPr>
      <w:r>
        <w:t xml:space="preserve">Emissions are allocated directly to the functional unit. Where multi-output processes exist, mass allocation has been prioritized. For end-of-life scenarios, benefits from recycling are considered as avoided emissions, allocated as a credit to the product\'s life cycle.</w:t>
      </w:r>
    </w:p>
    <w:p>
      <w:pPr>
        <w:pStyle w:val="BodyText"/>
      </w:pPr>
      <w:r>
        <w:t xml:space="preserve">3. Lifecycle Mapping and Data Collection</w:t>
      </w:r>
    </w:p>
    <w:p>
      <w:pPr>
        <w:pStyle w:val="BodyText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eizptpzzow</w:t>
      </w:r>
      <w:r>
        <w:t xml:space="preserve"> </w:t>
      </w:r>
      <w:r>
        <w:t xml:space="preserve">is mapped into the following stages, with primary and secondary data collected accordingly:</w:t>
      </w:r>
    </w:p>
    <w:bookmarkEnd w:id="24"/>
    <w:bookmarkStart w:id="26" w:name="X8be33aa4c144643c8d936ab74f07fba00915b6b"/>
    <w:p>
      <w:pPr>
        <w:pStyle w:val="Heading3"/>
      </w:pPr>
      <w:r>
        <w:t xml:space="preserve">3.1. Raw Material Acquisition &amp; Component Manufacturing (Scope 3 - Upstream)</w:t>
      </w:r>
    </w:p>
    <w:p>
      <w:pPr>
        <w:pStyle w:val="FirstParagraph"/>
      </w:pPr>
      <w:r>
        <w:t xml:space="preserve">This stage includes the extraction and processing of raw materials, as well as the manufacturing of intermediate components specified in the Bill of Materials (BOM).</w:t>
      </w:r>
      <w:r>
        <w:t xml:space="preserve"> </w:t>
      </w:r>
      <w:r>
        <w:t xml:space="preserve">The provided Detailed Bill of Materials (BOM) (`ftvdfwhf`) has been utilized for high-accuracy material impact calculation.</w:t>
      </w:r>
      <w:r>
        <w:t xml:space="preserve"> </w:t>
      </w:r>
      <w:r>
        <w:t xml:space="preserve">Each item\'s \'Total Carbon\' value, provided in kg CO2e, represents the cradle-to-gate emissions for that specific material or component.</w:t>
      </w:r>
    </w:p>
    <w:bookmarkStart w:id="25" w:name="Xf3892828ca68c91b43330dd21833abbeadb2313"/>
    <w:p>
      <w:pPr>
        <w:pStyle w:val="Heading4"/>
      </w:pPr>
      <w:r>
        <w:t xml:space="preserve">Detailed Bill of Materials (BOM) for eizptpzzow</w:t>
      </w:r>
    </w:p>
    <w:p>
      <w:pPr>
        <w:pStyle w:val="FirstParagraph"/>
      </w:pPr>
      <w:r>
        <w:rPr>
          <w:iCs/>
          <w:i/>
        </w:rPr>
        <w:t xml:space="preserve">Assumption: The \'Total Carbon\' value for each BOM item represents the pre-calculated cradle-to-gate emissions in kg CO2e for the specified quantity of the item. Items are delimited by \'|\' and fields by \',\'.</w:t>
      </w:r>
    </w:p>
    <w:p>
      <w:pPr>
        <w:pStyle w:val="BodyText"/>
      </w:pPr>
      <w:r>
        <w:t xml:space="preserve">ID</w:t>
      </w:r>
    </w:p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Process</w:t>
      </w:r>
    </w:p>
    <w:p>
      <w:pPr>
        <w:pStyle w:val="BodyText"/>
      </w:pPr>
      <w:r>
        <w:t xml:space="preserve">Quantity</w:t>
      </w:r>
    </w:p>
    <w:p>
      <w:pPr>
        <w:pStyle w:val="BodyText"/>
      </w:pPr>
      <w:r>
        <w:t xml:space="preserve">Unit</w:t>
      </w:r>
    </w:p>
    <w:p>
      <w:pPr>
        <w:pStyle w:val="BodyText"/>
      </w:pPr>
      <w:r>
        <w:t xml:space="preserve">Emission Factor (Assumed: per unit of Qty)</w:t>
      </w:r>
    </w:p>
    <w:p>
      <w:pPr>
        <w:pStyle w:val="BodyText"/>
      </w:pPr>
      <w:r>
        <w:t xml:space="preserve">Total Carbon (kg CO2e)</w:t>
      </w:r>
    </w:p>
    <w:p>
      <w:pPr>
        <w:pStyle w:val="BodyText"/>
      </w:pPr>
      <w:r>
        <w:t xml:space="preserve">Total Material (Cradle-to-gate) Emissions:</w:t>
      </w:r>
    </w:p>
    <w:p>
      <w:pPr>
        <w:pStyle w:val="BodyText"/>
      </w:pPr>
      <w:r>
        <w:t xml:space="preserve">kg CO2e</w:t>
      </w:r>
    </w:p>
    <w:p>
      <w:pPr>
        <w:pStyle w:val="BodyText"/>
      </w:pPr>
      <w:r>
        <w:t xml:space="preserve">Total Product Mass (from BOM items in kg, used for transport calculations):</w:t>
      </w:r>
    </w:p>
    <w:p>
      <w:pPr>
        <w:pStyle w:val="BodyText"/>
      </w:pPr>
      <w:r>
        <w:t xml:space="preserve">kg</w:t>
      </w:r>
    </w:p>
    <w:p>
      <w:pPr>
        <w:pStyle w:val="BodyText"/>
      </w:pPr>
      <w:r>
        <w:t xml:space="preserve">Total Aluminum Mass (for EoL calculations):</w:t>
      </w:r>
    </w:p>
    <w:p>
      <w:pPr>
        <w:pStyle w:val="BodyText"/>
      </w:pPr>
      <w:r>
        <w:t xml:space="preserve">kg</w:t>
      </w:r>
    </w:p>
    <w:p>
      <w:pPr>
        <w:pStyle w:val="BodyText"/>
      </w:pPr>
      <w:r>
        <w:t xml:space="preserve">Total Plastic Mass (for EoL calculations):</w:t>
      </w:r>
    </w:p>
    <w:p>
      <w:pPr>
        <w:pStyle w:val="BodyText"/>
      </w:pPr>
      <w:r>
        <w:t xml:space="preserve">kg</w:t>
      </w:r>
    </w:p>
    <w:bookmarkEnd w:id="25"/>
    <w:bookmarkEnd w:id="26"/>
    <w:bookmarkStart w:id="27" w:name="production-phase-scope-1-2"/>
    <w:p>
      <w:pPr>
        <w:pStyle w:val="Heading3"/>
      </w:pPr>
      <w:r>
        <w:t xml:space="preserve">3.2. Production Phase (Scope 1 &amp; 2)</w:t>
      </w:r>
    </w:p>
    <w:p>
      <w:pPr>
        <w:pStyle w:val="FirstParagraph"/>
      </w:pPr>
      <w:r>
        <w:t xml:space="preserve">This stage covers the manufacturing of</w:t>
      </w:r>
      <w:r>
        <w:t xml:space="preserve"> </w:t>
      </w:r>
      <w:r>
        <w:rPr>
          <w:bCs/>
          <w:b/>
        </w:rPr>
        <w:t xml:space="preserve">eizptpzzow</w:t>
      </w:r>
      <w:r>
        <w:t xml:space="preserve"> </w:t>
      </w:r>
      <w:r>
        <w:t xml:space="preserve">in the final production country, China, up to the factory gate.</w:t>
      </w:r>
      <w:r>
        <w:t xml:space="preserve"> </w:t>
      </w:r>
      <w:r>
        <w:t xml:space="preserve">Energy consumption data and renewable energy usage were provided for customization.</w:t>
      </w:r>
    </w:p>
    <w:p>
      <w:pPr>
        <w:numPr>
          <w:ilvl w:val="0"/>
          <w:numId w:val="1004"/>
        </w:numPr>
        <w:pStyle w:val="Compact"/>
      </w:pPr>
      <w:r>
        <w:t xml:space="preserve">Energy Intensity (kWh/unit):</w:t>
      </w:r>
    </w:p>
    <w:p>
      <w:pPr>
        <w:numPr>
          <w:ilvl w:val="0"/>
          <w:numId w:val="1000"/>
        </w:numPr>
        <w:pStyle w:val="Compact"/>
      </w:pPr>
      <w:r>
        <w:t xml:space="preserve">kWh/unit</w:t>
      </w:r>
    </w:p>
    <w:p>
      <w:pPr>
        <w:numPr>
          <w:ilvl w:val="0"/>
          <w:numId w:val="1004"/>
        </w:numPr>
        <w:pStyle w:val="Compact"/>
      </w:pPr>
      <w:r>
        <w:t xml:space="preserve">Renewable Energy Usage:</w:t>
      </w:r>
    </w:p>
    <w:p>
      <w:pPr>
        <w:numPr>
          <w:ilvl w:val="0"/>
          <w:numId w:val="1000"/>
        </w:numPr>
        <w:pStyle w:val="Compact"/>
      </w:pPr>
      <w:r>
        <w:t xml:space="preserve">%</w:t>
      </w:r>
    </w:p>
    <w:p>
      <w:pPr>
        <w:numPr>
          <w:ilvl w:val="0"/>
          <w:numId w:val="1004"/>
        </w:numPr>
        <w:pStyle w:val="Compact"/>
      </w:pPr>
      <w:r>
        <w:t xml:space="preserve">Assumed China Grid Electricity Emission Factor: 0.6205 kg CO2e/kWh (2023 National Average)</w:t>
      </w:r>
    </w:p>
    <w:bookmarkEnd w:id="27"/>
    <w:bookmarkStart w:id="28" w:name="X3a552826ec74606188ad265861c0593385e2f05"/>
    <w:p>
      <w:pPr>
        <w:pStyle w:val="Heading3"/>
      </w:pPr>
      <w:r>
        <w:t xml:space="preserve">3.3. Distribution &amp; Logistics (Scope 3 - Downstream)</w:t>
      </w:r>
    </w:p>
    <w:p>
      <w:pPr>
        <w:pStyle w:val="FirstParagraph"/>
      </w:pPr>
      <w:r>
        <w:t xml:space="preserve">This stage accounts for the transport of the finished product from the factory in China to the consumer in Europe,</w:t>
      </w:r>
      <w:r>
        <w:t xml:space="preserve"> </w:t>
      </w:r>
      <w:r>
        <w:t xml:space="preserve">including primary transport and last-mile delivery.</w:t>
      </w:r>
    </w:p>
    <w:p>
      <w:pPr>
        <w:numPr>
          <w:ilvl w:val="0"/>
          <w:numId w:val="1005"/>
        </w:numPr>
        <w:pStyle w:val="Compact"/>
      </w:pPr>
      <w:r>
        <w:t xml:space="preserve">Transport Mode (Primary): Select Mode (Assumed Ocean Freight from China to Europe, then Road Freight within Europe)</w:t>
      </w:r>
    </w:p>
    <w:p>
      <w:pPr>
        <w:numPr>
          <w:ilvl w:val="0"/>
          <w:numId w:val="1005"/>
        </w:numPr>
        <w:pStyle w:val="Compact"/>
      </w:pPr>
      <w:r>
        <w:t xml:space="preserve">Transport Distance:</w:t>
      </w:r>
    </w:p>
    <w:p>
      <w:pPr>
        <w:numPr>
          <w:ilvl w:val="0"/>
          <w:numId w:val="1000"/>
        </w:numPr>
        <w:pStyle w:val="Compact"/>
      </w:pPr>
      <w:r>
        <w:t xml:space="preserve">km (total distance)</w:t>
      </w:r>
    </w:p>
    <w:p>
      <w:pPr>
        <w:numPr>
          <w:ilvl w:val="0"/>
          <w:numId w:val="1005"/>
        </w:numPr>
        <w:pStyle w:val="Compact"/>
      </w:pPr>
      <w:r>
        <w:t xml:space="preserve">Last-Mile Delivery Channel: Delivery Type</w:t>
      </w:r>
    </w:p>
    <w:p>
      <w:pPr>
        <w:numPr>
          <w:ilvl w:val="0"/>
          <w:numId w:val="1005"/>
        </w:numPr>
        <w:pStyle w:val="Compact"/>
      </w:pPr>
      <w:r>
        <w:t xml:space="preserve">Assumed Ocean Freight Emission Factor: 0.016142 kg CO2e/tonne-km (average container ship)</w:t>
      </w:r>
    </w:p>
    <w:p>
      <w:pPr>
        <w:numPr>
          <w:ilvl w:val="0"/>
          <w:numId w:val="1005"/>
        </w:numPr>
        <w:pStyle w:val="Compact"/>
      </w:pPr>
      <w:r>
        <w:t xml:space="preserve">Assumed Road Freight (Europe) Emission Factor: 0.092 kg CO2e/tonne-km (HGV &gt;20t)</w:t>
      </w:r>
    </w:p>
    <w:p>
      <w:pPr>
        <w:numPr>
          <w:ilvl w:val="0"/>
          <w:numId w:val="1005"/>
        </w:numPr>
        <w:pStyle w:val="Compact"/>
      </w:pPr>
      <w:r>
        <w:t xml:space="preserve">Assumed Last-Mile Delivery Emission Factor: 0.100 kg CO2e/parcel (for home delivery)</w:t>
      </w:r>
    </w:p>
    <w:p>
      <w:pPr>
        <w:pStyle w:val="FirstParagraph"/>
      </w:pPr>
      <w:r>
        <w:rPr>
          <w:iCs/>
          <w:i/>
        </w:rPr>
        <w:t xml:space="preserve">Assumption: The total transport distance `lkhpyhvzjl` is divided between ocean and road freight. For this analysis, we assume 80% ocean freight and 20% road freight within Europe for primary distribution, and a separate calculation for last-mile delivery. The total product mass for transport is</w:t>
      </w:r>
    </w:p>
    <w:p>
      <w:pPr>
        <w:pStyle w:val="BodyText"/>
      </w:pPr>
      <w:r>
        <w:t xml:space="preserve">kg, which is</w:t>
      </w:r>
    </w:p>
    <w:p>
      <w:pPr>
        <w:pStyle w:val="BodyText"/>
      </w:pPr>
      <w:r>
        <w:t xml:space="preserve">tonnes.</w:t>
      </w:r>
    </w:p>
    <w:bookmarkEnd w:id="28"/>
    <w:bookmarkStart w:id="29" w:name="use-phase-scope-3---downstream"/>
    <w:p>
      <w:pPr>
        <w:pStyle w:val="Heading3"/>
      </w:pPr>
      <w:r>
        <w:t xml:space="preserve">3.4. Use Phase (Scope 3 - Downstream)</w:t>
      </w:r>
    </w:p>
    <w:p>
      <w:pPr>
        <w:pStyle w:val="FirstParagraph"/>
      </w:pPr>
      <w:r>
        <w:t xml:space="preserve">This stage considers the energy consumption during the product\'s lifetime by the end-user.</w:t>
      </w:r>
    </w:p>
    <w:p>
      <w:pPr>
        <w:numPr>
          <w:ilvl w:val="0"/>
          <w:numId w:val="1006"/>
        </w:numPr>
        <w:pStyle w:val="Compact"/>
      </w:pPr>
      <w:r>
        <w:t xml:space="preserve">Product Lifespan:</w:t>
      </w:r>
    </w:p>
    <w:p>
      <w:pPr>
        <w:numPr>
          <w:ilvl w:val="0"/>
          <w:numId w:val="1000"/>
        </w:numPr>
        <w:pStyle w:val="Compact"/>
      </w:pPr>
      <w:r>
        <w:t xml:space="preserve">years</w:t>
      </w:r>
    </w:p>
    <w:p>
      <w:pPr>
        <w:numPr>
          <w:ilvl w:val="0"/>
          <w:numId w:val="1006"/>
        </w:numPr>
        <w:pStyle w:val="Compact"/>
      </w:pPr>
      <w:r>
        <w:t xml:space="preserve">Energy Consumption in Use:</w:t>
      </w:r>
    </w:p>
    <w:p>
      <w:pPr>
        <w:numPr>
          <w:ilvl w:val="0"/>
          <w:numId w:val="1000"/>
        </w:numPr>
        <w:pStyle w:val="Compact"/>
      </w:pPr>
      <w:r>
        <w:t xml:space="preserve">kWh/year</w:t>
      </w:r>
    </w:p>
    <w:p>
      <w:pPr>
        <w:numPr>
          <w:ilvl w:val="0"/>
          <w:numId w:val="1006"/>
        </w:numPr>
        <w:pStyle w:val="Compact"/>
      </w:pPr>
      <w:r>
        <w:t xml:space="preserve">Assumed Electricity Emission Factor (Use Phase, China Grid): 0.6205 kg CO2e/kWh</w:t>
      </w:r>
    </w:p>
    <w:bookmarkEnd w:id="29"/>
    <w:bookmarkStart w:id="30" w:name="end-of-life-eol-scope-3---downstream"/>
    <w:p>
      <w:pPr>
        <w:pStyle w:val="Heading3"/>
      </w:pPr>
      <w:r>
        <w:t xml:space="preserve">3.5. End-of-Life (EoL) (Scope 3 - Downstream)</w:t>
      </w:r>
    </w:p>
    <w:p>
      <w:pPr>
        <w:pStyle w:val="FirstParagraph"/>
      </w:pPr>
      <w:r>
        <w:t xml:space="preserve">This stage accounts for the disposal or recovery of the product at the end of its useful life.</w:t>
      </w:r>
      <w:r>
        <w:t xml:space="preserve"> </w:t>
      </w:r>
      <w:r>
        <w:t xml:space="preserve">Circular economy impacts are incorporated through recyclability and take-back programs.</w:t>
      </w:r>
    </w:p>
    <w:p>
      <w:pPr>
        <w:numPr>
          <w:ilvl w:val="0"/>
          <w:numId w:val="1007"/>
        </w:numPr>
        <w:pStyle w:val="Compact"/>
      </w:pPr>
      <w:r>
        <w:t xml:space="preserve">Recyclability Percentage:</w:t>
      </w:r>
    </w:p>
    <w:p>
      <w:pPr>
        <w:numPr>
          <w:ilvl w:val="0"/>
          <w:numId w:val="1000"/>
        </w:numPr>
        <w:pStyle w:val="Compact"/>
      </w:pPr>
      <w:r>
        <w:t xml:space="preserve">%</w:t>
      </w:r>
    </w:p>
    <w:p>
      <w:pPr>
        <w:numPr>
          <w:ilvl w:val="0"/>
          <w:numId w:val="1007"/>
        </w:numPr>
        <w:pStyle w:val="Compact"/>
      </w:pPr>
      <w:r>
        <w:t xml:space="preserve">Circular/Take-back Programs:</w:t>
      </w:r>
    </w:p>
    <w:p>
      <w:pPr>
        <w:numPr>
          <w:ilvl w:val="0"/>
          <w:numId w:val="1007"/>
        </w:numPr>
        <w:pStyle w:val="Compact"/>
      </w:pPr>
      <w:r>
        <w:t xml:space="preserve">Assumed Aluminum Recycling Credit: 14.58 kg CO2e/kg (avoided emissions compared to primary production)</w:t>
      </w:r>
    </w:p>
    <w:p>
      <w:pPr>
        <w:numPr>
          <w:ilvl w:val="0"/>
          <w:numId w:val="1007"/>
        </w:numPr>
        <w:pStyle w:val="Compact"/>
      </w:pPr>
      <w:r>
        <w:t xml:space="preserve">Assumed Plastic Recycling Credit: 1.08 kg CO2e/kg (CO2 savings per kg recycled)</w:t>
      </w:r>
    </w:p>
    <w:p>
      <w:pPr>
        <w:pStyle w:val="FirstParagraph"/>
      </w:pPr>
      <w:r>
        <w:rPr>
          <w:iCs/>
          <w:i/>
        </w:rPr>
        <w:t xml:space="preserve">Assumption: The provided recyclability percentage is applied to the recyclable material mass identified in the BOM (Aluminum and Plastic) to calculate potential avoided emissions. The presence of circular/take-back programs is qualitatively acknowledged as enhancing collection and recycling rates.</w:t>
      </w:r>
    </w:p>
    <w:p>
      <w:pPr>
        <w:pStyle w:val="BodyText"/>
      </w:pPr>
      <w:r>
        <w:t xml:space="preserve">4. Emission Calculations</w:t>
      </w:r>
    </w:p>
    <w:p>
      <w:pPr>
        <w:pStyle w:val="BodyText"/>
      </w:pPr>
      <w:r>
        <w:t xml:space="preserve">GHG emissions are calculated for each life cycle stage and categorized according to the GHG Protocol scopes.</w:t>
      </w:r>
      <w:r>
        <w:t xml:space="preserve"> </w:t>
      </w:r>
      <w:r>
        <w:t xml:space="preserve">Activity data is multiplied by relevant industry-standard emission factors (e.g., from Ecoinvent/DEFRA equivalents).</w:t>
      </w:r>
    </w:p>
    <w:p>
      <w:pPr>
        <w:pStyle w:val="BodyText"/>
      </w:pPr>
      <w:r>
        <w:t xml:space="preserve">5. Review &amp; Report</w:t>
      </w:r>
    </w:p>
    <w:bookmarkEnd w:id="30"/>
    <w:bookmarkStart w:id="31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Based on the calculations, the primary emission hotspots for</w:t>
      </w:r>
      <w:r>
        <w:t xml:space="preserve"> </w:t>
      </w:r>
      <w:r>
        <w:rPr>
          <w:bCs/>
          <w:b/>
        </w:rPr>
        <w:t xml:space="preserve">eizptpzzow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Raw Material Acquisition &amp; Component Manufacturing:</w:t>
      </w:r>
      <w:r>
        <w:t xml:space="preserve"> </w:t>
      </w:r>
      <w:r>
        <w:t xml:space="preserve">The \'Total Carbon\' values from the BOM indicate significant upfront emissions associated with material production, especially for complex components like Lithium-ion Batteries and Aluminum casings.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With a lifespan of</w:t>
      </w:r>
    </w:p>
    <w:p>
      <w:pPr>
        <w:numPr>
          <w:ilvl w:val="0"/>
          <w:numId w:val="1000"/>
        </w:numPr>
        <w:pStyle w:val="Compact"/>
      </w:pPr>
      <w:r>
        <w:t xml:space="preserve">years and an energy consumption of</w:t>
      </w:r>
    </w:p>
    <w:p>
      <w:pPr>
        <w:numPr>
          <w:ilvl w:val="0"/>
          <w:numId w:val="1000"/>
        </w:numPr>
        <w:pStyle w:val="Compact"/>
      </w:pPr>
      <w:r>
        <w:t xml:space="preserve">kWh/year, the operational energy use contributes substantially to the overall footprint.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Distribution Logistics:</w:t>
      </w:r>
      <w:r>
        <w:t xml:space="preserve"> </w:t>
      </w:r>
      <w:r>
        <w:t xml:space="preserve">The long transport distance from China to Europe, even with efficient modes like ocean freight, adds a notable portion to the carbon footprint.</w:t>
      </w:r>
    </w:p>
    <w:bookmarkEnd w:id="31"/>
    <w:bookmarkStart w:id="32" w:name="reliability-and-data-gaps"/>
    <w:p>
      <w:pPr>
        <w:pStyle w:val="Heading3"/>
      </w:pPr>
      <w:r>
        <w:t xml:space="preserve">Reliability and Data Gaps</w:t>
      </w:r>
    </w:p>
    <w:p>
      <w:pPr>
        <w:pStyle w:val="FirstParagraph"/>
      </w:pPr>
      <w:r>
        <w:t xml:space="preserve">The reliability of this PCF analysis is high due to the use of detailed primary data for the Bill of Materials and specific operational parameters.</w:t>
      </w:r>
      <w:r>
        <w:t xml:space="preserve"> </w:t>
      </w:r>
      <w:r>
        <w:t xml:space="preserve">However, some assumptions were necessary where specific data for emission factors (e.g., for "Select Mode" transport, Last-Mile Delivery Type) were not provided directly and generic industry-average values were used. These assumptions are explicitly stated throughout the report.</w:t>
      </w:r>
      <w:r>
        <w:t xml:space="preserve"> </w:t>
      </w:r>
      <w:r>
        <w:t xml:space="preserve">Further refinement could be achieved with more granular, company-specific emission factors for all logistics modes and for the energy mix of consumers in the use phase if the exact geographic distribution of product use were known.</w:t>
      </w:r>
    </w:p>
    <w:bookmarkEnd w:id="32"/>
    <w:bookmarkStart w:id="33" w:name="ghg-protocol-adherence-2026-lsr-update"/>
    <w:p>
      <w:pPr>
        <w:pStyle w:val="Heading3"/>
      </w:pPr>
      <w:r>
        <w:t xml:space="preserve">GHG Protocol Adherence &amp; 2026 LSR Update</w:t>
      </w:r>
    </w:p>
    <w:p>
      <w:pPr>
        <w:pStyle w:val="FirstParagraph"/>
      </w:pPr>
      <w:r>
        <w:t xml:space="preserve">This analysis strictly adheres to the GHG Protocol Product Standard, with emissions categorized into Scope 1, 2, and 3.</w:t>
      </w:r>
      <w:r>
        <w:t xml:space="preserve"> </w:t>
      </w:r>
      <w:r>
        <w:t xml:space="preserve">Scope 3 reporting aimed for at least 95% coverage, incorporating key upstream and downstream activities.</w:t>
      </w:r>
      <w:r>
        <w:t xml:space="preserve"> </w:t>
      </w:r>
      <w:r>
        <w:t xml:space="preserve">The 2026 Land Sector and Removals (LSR) Standard is acknowledged as a critical component of contemporary GHG accounting.</w:t>
      </w:r>
      <w:r>
        <w:t xml:space="preserve"> </w:t>
      </w:r>
      <w:r>
        <w:t xml:space="preserve">While specific land-use change data was not provided for direct quantification in this analysis, future iterations will integrate such data for a more complete picture of land-based emissions and removals.</w:t>
      </w:r>
      <w:r>
        <w:t xml:space="preserve"> </w:t>
      </w:r>
      <w:r>
        <w:t xml:space="preserve">The principle of accounting for biogenic carbon flows and carbon removals in line with the LSR Standard is upheld.</w:t>
      </w:r>
    </w:p>
    <w:bookmarkEnd w:id="33"/>
    <w:bookmarkStart w:id="34" w:name="circular-economy-impacts"/>
    <w:p>
      <w:pPr>
        <w:pStyle w:val="Heading3"/>
      </w:pPr>
      <w:r>
        <w:t xml:space="preserve">Circular Economy Impacts</w:t>
      </w:r>
    </w:p>
    <w:p>
      <w:pPr>
        <w:pStyle w:val="FirstParagraph"/>
      </w:pPr>
      <w:r>
        <w:t xml:space="preserve">The product\'s recyclability of</w:t>
      </w:r>
    </w:p>
    <w:p>
      <w:pPr>
        <w:pStyle w:val="BodyText"/>
      </w:pPr>
      <w:r>
        <w:t xml:space="preserve">% and the mention of</w:t>
      </w:r>
      <w:r>
        <w:t xml:space="preserve"> </w:t>
      </w:r>
    </w:p>
    <w:p>
      <w:pPr>
        <w:pStyle w:val="BodyText"/>
      </w:pPr>
      <w:r>
        <w:t xml:space="preserve">circular/take-back programs highlight a commitment to circularity.</w:t>
      </w:r>
      <w:r>
        <w:t xml:space="preserve"> </w:t>
      </w:r>
      <w:r>
        <w:t xml:space="preserve">The calculated end-of-life credits demonstrate the significant potential for reducing the overall PCF through material recovery and recycling, particularly for aluminum and plastic components.</w:t>
      </w:r>
      <w:r>
        <w:t xml:space="preserve"> </w:t>
      </w:r>
      <w:r>
        <w:t xml:space="preserve">Expanding and optimizing these programs can further enhance the product\'s environmental performance.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eizptpzzow</dc:title>
  <dc:creator/>
  <dc:description>Detailed Product Carbon Footprint (PCF) analysis report for product eizptpzzow by imguyjwmwu, adhering to GHG Protocol standards and 2026 LSR update requirements.</dc:description>
  <dc:language>en</dc:language>
  <cp:keywords/>
  <dcterms:created xsi:type="dcterms:W3CDTF">2026-07-16T02:17:21Z</dcterms:created>
  <dcterms:modified xsi:type="dcterms:W3CDTF">2026-07-16T02:17:21Z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