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eiyxteussm</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eiyxteussm</w:t>
      </w:r>
    </w:p>
    <w:p>
      <w:pPr>
        <w:pStyle w:val="BodyText"/>
      </w:pPr>
      <w:r>
        <w:rPr>
          <w:bCs/>
          <w:b/>
        </w:rPr>
        <w:t xml:space="preserve">Name of the Company:</w:t>
      </w:r>
      <w:r>
        <w:t xml:space="preserve"> </w:t>
      </w:r>
      <w:r>
        <w:t xml:space="preserve">hggwjeylou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fufnsxnnrt</w:t>
      </w:r>
    </w:p>
    <w:p>
      <w:pPr>
        <w:pStyle w:val="BodyText"/>
      </w:pPr>
      <w:r>
        <w:t xml:space="preserve">This report is generated based on available data and industry standards. While every effort has been made to ensure accuracy, estimations and assumptions are inherent in carbon footprinting methodologies.</w:t>
      </w:r>
    </w:p>
    <w:bookmarkEnd w:id="20"/>
    <w:bookmarkStart w:id="21" w:name="X4130b104aee1dcd20e8feaaa0c96c656e9a608e"/>
    <w:p>
      <w:pPr>
        <w:pStyle w:val="Heading1"/>
      </w:pPr>
      <w:r>
        <w:t xml:space="preserve">Product Carbon Footprint Analysis for eiyxteussm</w:t>
      </w:r>
    </w:p>
    <w:p>
      <w:pPr>
        <w:pStyle w:val="FirstParagraph"/>
      </w:pPr>
      <w:r>
        <w:t xml:space="preserve">Generated Date: 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eiyxteussm</w:t>
      </w:r>
      <w:r>
        <w:t xml:space="preserve"> </w:t>
      </w:r>
      <w:r>
        <w:t xml:space="preserve">manufactured by</w:t>
      </w:r>
      <w:r>
        <w:t xml:space="preserve"> </w:t>
      </w:r>
      <w:r>
        <w:rPr>
          <w:bCs/>
          <w:b/>
        </w:rPr>
        <w:t xml:space="preserve">hggwjeylou</w:t>
      </w:r>
      <w:r>
        <w:t xml:space="preserve">. As a Senior Sustainability Consultant specializing in GHG Protocol,</w:t>
      </w:r>
      <w:r>
        <w:t xml:space="preserve"> </w:t>
      </w:r>
      <w:r>
        <w:rPr>
          <w:bCs/>
          <w:b/>
        </w:rPr>
        <w:t xml:space="preserve">fufnsxnnrt</w:t>
      </w:r>
      <w:r>
        <w:t xml:space="preserve"> </w:t>
      </w:r>
      <w:r>
        <w:t xml:space="preserve">has conducted this analysis following the GHG Protocol Product Standard, incorporating the 2026 Land Sector and Removals (LSR) update, and ensuring robust Scope 3 compliance. The analysis covers emissions across the product\'s lifecycle, from raw material extraction and manufacturing to transport, use, and end-of-life, providing a comprehensive assessment of its environmental impact.</w:t>
      </w:r>
    </w:p>
    <w:p>
      <w:pPr>
        <w:pStyle w:val="BodyText"/>
      </w:pPr>
      <w:r>
        <w:t xml:space="preserve">The primary objective is to identify greenhouse gas (GHG) emission hotspots within the product\'s value chain, categorize them according to GHG Protocol scopes, and provide a reliable baseline for hggwjeylou\'s sustainability initiatives. The calculations leverage detailed Bill of Materials data, specific logistics information, customized energy usage, and end-of-life scenarios to enhance accuracy.</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for</w:t>
      </w:r>
      <w:r>
        <w:t xml:space="preserve"> </w:t>
      </w:r>
      <w:r>
        <w:rPr>
          <w:bCs/>
          <w:b/>
        </w:rPr>
        <w:t xml:space="preserve">eiyxteussm</w:t>
      </w:r>
      <w:r>
        <w:t xml:space="preserve"> </w:t>
      </w:r>
      <w:r>
        <w:t xml:space="preserve">is defined as follows:</w:t>
      </w:r>
    </w:p>
    <w:p>
      <w:pPr>
        <w:numPr>
          <w:ilvl w:val="0"/>
          <w:numId w:val="1001"/>
        </w:numPr>
        <w:pStyle w:val="Compact"/>
      </w:pPr>
      <w:r>
        <w:rPr>
          <w:bCs/>
          <w:b/>
        </w:rPr>
        <w:t xml:space="preserve">Functional Unit:</w:t>
      </w:r>
      <w:r>
        <w:t xml:space="preserve"> </w:t>
      </w:r>
      <w:r>
        <w:t xml:space="preserve">1.0 unit of eiyxteussm</w:t>
      </w:r>
    </w:p>
    <w:p>
      <w:pPr>
        <w:numPr>
          <w:ilvl w:val="0"/>
          <w:numId w:val="1001"/>
        </w:numPr>
        <w:pStyle w:val="Compact"/>
      </w:pPr>
      <w:r>
        <w:rPr>
          <w:bCs/>
          <w:b/>
        </w:rPr>
        <w:t xml:space="preserve">System Boundary:</w:t>
      </w:r>
      <w:r>
        <w:t xml:space="preserve"> </w:t>
      </w:r>
      <w:r>
        <w:t xml:space="preserve">Cradle-to-grave, extending beyond the strict factory gate to include upstream materials, production, downstream transport, use phase, and end-of-life treatment, as per the detailed requirements.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(relevant for material sourcing and potentially outbound logistics destinations)</w:t>
      </w:r>
    </w:p>
    <w:p>
      <w:pPr>
        <w:numPr>
          <w:ilvl w:val="0"/>
          <w:numId w:val="1001"/>
        </w:numPr>
        <w:pStyle w:val="Compact"/>
      </w:pPr>
      <w:r>
        <w:rPr>
          <w:bCs/>
          <w:b/>
        </w:rPr>
        <w:t xml:space="preserve">Accounting Standard:</w:t>
      </w:r>
      <w:r>
        <w:t xml:space="preserve"> </w:t>
      </w:r>
      <w:r>
        <w:t xml:space="preserve">GHG Protocol Product Standard, with application of the 2026 Land Sector and Removals (LSR) Standard for land use and carbon removals.</w:t>
      </w:r>
    </w:p>
    <w:p>
      <w:pPr>
        <w:numPr>
          <w:ilvl w:val="0"/>
          <w:numId w:val="1001"/>
        </w:numPr>
        <w:pStyle w:val="Compact"/>
      </w:pPr>
      <w:r>
        <w:rPr>
          <w:bCs/>
          <w:b/>
        </w:rPr>
        <w:t xml:space="preserve">Allocation:</w:t>
      </w:r>
      <w:r>
        <w:t xml:space="preserve"> </w:t>
      </w:r>
      <w:r>
        <w:t xml:space="preserve">Emissions are allocated directly to the functional unit (1.0 unit of eiyxteussm) based on mass, energy consumption, and specific activity data. Where co-products or by-products exist, allocation is based on relevant physical parameters or economic value, in line with GHG Protocol guidance.</w:t>
      </w:r>
    </w:p>
    <w:p>
      <w:r>
        <w:pict>
          <v:rect style="width:0;height:1.5pt" o:hralign="center" o:hrstd="t" o:hr="t"/>
        </w:pict>
      </w:r>
    </w:p>
    <w:bookmarkEnd w:id="23"/>
    <w:bookmarkStart w:id="30"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considered and the data collected for each, including primary data provided by hggwjeylou and secondary data from industry-standard emission factor databases (Ecoinvent, DEFRA-equivalent sources).</w:t>
      </w:r>
    </w:p>
    <w:bookmarkStart w:id="25" w:name="X1198c8af25dd1a2ebffa686809674f976343a37"/>
    <w:p>
      <w:pPr>
        <w:pStyle w:val="Heading3"/>
      </w:pPr>
      <w:r>
        <w:t xml:space="preserve">Material Acquisition &amp; Pre-processing (Scope 3 - Upstream)</w:t>
      </w:r>
    </w:p>
    <w:p>
      <w:pPr>
        <w:pStyle w:val="FirstParagraph"/>
      </w:pPr>
      <w:r>
        <w:t xml:space="preserve">The detailed Bill of Materials (BOM) for</w:t>
      </w:r>
      <w:r>
        <w:t xml:space="preserve"> </w:t>
      </w:r>
      <w:r>
        <w:rPr>
          <w:bCs/>
          <w:b/>
        </w:rPr>
        <w:t xml:space="preserve">eiyxteussm</w:t>
      </w:r>
      <w:r>
        <w:t xml:space="preserve"> </w:t>
      </w:r>
      <w:r>
        <w:t xml:space="preserve">(provided as `tqqyqdfh`) serves as the primary data source for material inputs. The BOM includes pre-calculated "Total Carbon" values for each component, representing their cradle-to-gate emissions. The total product weight is also derived from the BOM.</w:t>
      </w:r>
    </w:p>
    <w:bookmarkStart w:id="24" w:name="X33a5d9be7f2244016ab5ec680d420f2d2e0bce8"/>
    <w:p>
      <w:pPr>
        <w:pStyle w:val="Heading4"/>
      </w:pPr>
      <w:r>
        <w:t xml:space="preserve">Detailed Bill of Materials (BOM) - tqqyqdfh</w:t>
      </w:r>
    </w:p>
    <w:p>
      <w:pPr>
        <w:pStyle w:val="FirstParagraph"/>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(kgCO2e/Unit)</w:t>
      </w:r>
    </w:p>
    <w:p>
      <w:pPr>
        <w:pStyle w:val="BodyText"/>
      </w:pPr>
      <w:r>
        <w:t xml:space="preserve">Total Carbon (kgCO2e)</w:t>
      </w:r>
    </w:p>
    <w:p>
      <w:pPr>
        <w:pStyle w:val="BodyText"/>
      </w:pPr>
      <w:r>
        <w:rPr>
          <w:bCs/>
          <w:b/>
        </w:rPr>
        <w:t xml:space="preserve">Calculated Total Product Weight:</w:t>
      </w:r>
    </w:p>
    <w:p>
      <w:pPr>
        <w:pStyle w:val="BodyText"/>
      </w:pPr>
      <w:r>
        <w:t xml:space="preserve">kg</w:t>
      </w:r>
    </w:p>
    <w:p>
      <w:pPr>
        <w:pStyle w:val="BodyText"/>
      </w:pPr>
      <w:r>
        <w:rPr>
          <w:bCs/>
          <w:b/>
        </w:rPr>
        <w:t xml:space="preserve">Calculated Total Material Acquisition &amp; Pre-processing Emissions:</w:t>
      </w:r>
    </w:p>
    <w:p>
      <w:pPr>
        <w:pStyle w:val="BodyText"/>
      </w:pPr>
      <w:r>
        <w:t xml:space="preserve">kg CO2e</w:t>
      </w:r>
    </w:p>
    <w:bookmarkEnd w:id="24"/>
    <w:bookmarkEnd w:id="25"/>
    <w:bookmarkStart w:id="26" w:name="production-phase-factory-operations"/>
    <w:p>
      <w:pPr>
        <w:pStyle w:val="Heading3"/>
      </w:pPr>
      <w:r>
        <w:t xml:space="preserve">Production Phase (Factory Operations)</w:t>
      </w:r>
    </w:p>
    <w:p>
      <w:pPr>
        <w:numPr>
          <w:ilvl w:val="0"/>
          <w:numId w:val="1003"/>
        </w:numPr>
        <w:pStyle w:val="Compact"/>
      </w:pPr>
      <w:r>
        <w:rPr>
          <w:bCs/>
          <w:b/>
        </w:rPr>
        <w:t xml:space="preserve">Energy Intensity (kWh/unit):</w:t>
      </w:r>
      <w:r>
        <w:t xml:space="preserve"> </w:t>
      </w:r>
      <w:r>
        <w:t xml:space="preserve">qxmjdtyelw (e.g., 25 kWh/unit)</w:t>
      </w:r>
    </w:p>
    <w:p>
      <w:pPr>
        <w:numPr>
          <w:ilvl w:val="0"/>
          <w:numId w:val="1003"/>
        </w:numPr>
        <w:pStyle w:val="Compact"/>
      </w:pPr>
      <w:r>
        <w:rPr>
          <w:bCs/>
          <w:b/>
        </w:rPr>
        <w:t xml:space="preserve">Renewable Energy Usage:</w:t>
      </w:r>
      <w:r>
        <w:t xml:space="preserve"> </w:t>
      </w:r>
      <w:r>
        <w:t xml:space="preserve">xytzixfgnv (e.g., 60%)</w:t>
      </w:r>
    </w:p>
    <w:p>
      <w:pPr>
        <w:numPr>
          <w:ilvl w:val="0"/>
          <w:numId w:val="1003"/>
        </w:numPr>
        <w:pStyle w:val="Compact"/>
      </w:pPr>
      <w:r>
        <w:rPr>
          <w:bCs/>
          <w:b/>
        </w:rPr>
        <w:t xml:space="preserve">Geographic Location:</w:t>
      </w:r>
      <w:r>
        <w:t xml:space="preserve"> </w:t>
      </w:r>
      <w:r>
        <w:t xml:space="preserve">China</w:t>
      </w:r>
    </w:p>
    <w:p>
      <w:pPr>
        <w:pStyle w:val="FirstParagraph"/>
      </w:pPr>
      <w:r>
        <w:rPr>
          <w:bCs/>
          <w:b/>
        </w:rPr>
        <w:t xml:space="preserve">Emission Factor for China Electricity Grid:</w:t>
      </w:r>
      <w:r>
        <w:t xml:space="preserve"> </w:t>
      </w:r>
      <w:r>
        <w:t xml:space="preserve">0.6205 kg CO2e/kWh (national average power carbon footprint factor 2023)</w:t>
      </w:r>
    </w:p>
    <w:p>
      <w:pPr>
        <w:pStyle w:val="BodyText"/>
      </w:pPr>
      <w:r>
        <w:rPr>
          <w:bCs/>
          <w:b/>
        </w:rPr>
        <w:t xml:space="preserve">Emission Factor for Renewable Electricity:</w:t>
      </w:r>
      <w:r>
        <w:t xml:space="preserve"> </w:t>
      </w:r>
      <w:r>
        <w:t xml:space="preserve">0 kg CO2e/kWh (assuming zero-emission renewable sources)</w:t>
      </w:r>
    </w:p>
    <w:bookmarkEnd w:id="26"/>
    <w:bookmarkStart w:id="27" w:name="X33225baec48bbd386df0e4a70be3fceaa484674"/>
    <w:p>
      <w:pPr>
        <w:pStyle w:val="Heading3"/>
      </w:pPr>
      <w:r>
        <w:t xml:space="preserve">Transport (Outbound Logistics - Downstream)</w:t>
      </w:r>
    </w:p>
    <w:p>
      <w:pPr>
        <w:numPr>
          <w:ilvl w:val="0"/>
          <w:numId w:val="1004"/>
        </w:numPr>
        <w:pStyle w:val="Compact"/>
      </w:pPr>
      <w:r>
        <w:rPr>
          <w:bCs/>
          <w:b/>
        </w:rPr>
        <w:t xml:space="preserve">Transport Mode:</w:t>
      </w:r>
      <w:r>
        <w:t xml:space="preserve"> </w:t>
      </w:r>
      <w:r>
        <w:t xml:space="preserve">Select Mode (e.g., Ocean Freight)</w:t>
      </w:r>
    </w:p>
    <w:p>
      <w:pPr>
        <w:numPr>
          <w:ilvl w:val="0"/>
          <w:numId w:val="1004"/>
        </w:numPr>
        <w:pStyle w:val="Compact"/>
      </w:pPr>
      <w:r>
        <w:rPr>
          <w:bCs/>
          <w:b/>
        </w:rPr>
        <w:t xml:space="preserve">Transport Distance:</w:t>
      </w:r>
      <w:r>
        <w:t xml:space="preserve"> </w:t>
      </w:r>
      <w:r>
        <w:t xml:space="preserve">pnrnlgrmgg (e.g., 12000 km)</w:t>
      </w:r>
    </w:p>
    <w:p>
      <w:pPr>
        <w:numPr>
          <w:ilvl w:val="0"/>
          <w:numId w:val="1004"/>
        </w:numPr>
        <w:pStyle w:val="Compact"/>
      </w:pPr>
      <w:r>
        <w:rPr>
          <w:bCs/>
          <w:b/>
        </w:rPr>
        <w:t xml:space="preserve">Last-Mile Delivery Channel:</w:t>
      </w:r>
      <w:r>
        <w:t xml:space="preserve"> </w:t>
      </w:r>
      <w:r>
        <w:t xml:space="preserve">Delivery Type (e.g., Road Freight (Heavy Goods Vehicle))</w:t>
      </w:r>
    </w:p>
    <w:p>
      <w:pPr>
        <w:numPr>
          <w:ilvl w:val="0"/>
          <w:numId w:val="1004"/>
        </w:numPr>
        <w:pStyle w:val="Compact"/>
      </w:pPr>
      <w:r>
        <w:rPr>
          <w:bCs/>
          <w:b/>
        </w:rPr>
        <w:t xml:space="preserve">Assumed Last-Mile Distance:</w:t>
      </w:r>
      <w:r>
        <w:t xml:space="preserve"> </w:t>
      </w:r>
      <w:r>
        <w:t xml:space="preserve">500 km (typical last-mile range)</w:t>
      </w:r>
    </w:p>
    <w:p>
      <w:pPr>
        <w:pStyle w:val="FirstParagraph"/>
      </w:pPr>
      <w:r>
        <w:rPr>
          <w:bCs/>
          <w:b/>
        </w:rPr>
        <w:t xml:space="preserve">Emission Factor for Ocean Freight (Container Ship, dry):</w:t>
      </w:r>
      <w:r>
        <w:t xml:space="preserve"> </w:t>
      </w:r>
      <w:r>
        <w:t xml:space="preserve">0.0664 kgCO2e/TEU-km (GLEC 2019)</w:t>
      </w:r>
    </w:p>
    <w:p>
      <w:pPr>
        <w:pStyle w:val="BodyText"/>
      </w:pPr>
      <w:r>
        <w:rPr>
          <w:bCs/>
          <w:b/>
        </w:rPr>
        <w:t xml:space="preserve">Emission Factor for Road Freight (HGV &gt;20t):</w:t>
      </w:r>
      <w:r>
        <w:t xml:space="preserve"> </w:t>
      </w:r>
      <w:r>
        <w:t xml:space="preserve">0.092 kgCO2e/tonne-km (GLEC 2019, Well-to-Wheel)</w:t>
      </w:r>
    </w:p>
    <w:bookmarkEnd w:id="27"/>
    <w:bookmarkStart w:id="28" w:name="use-phase-downstream"/>
    <w:p>
      <w:pPr>
        <w:pStyle w:val="Heading3"/>
      </w:pPr>
      <w:r>
        <w:t xml:space="preserve">Use Phase (Downstream)</w:t>
      </w:r>
    </w:p>
    <w:p>
      <w:pPr>
        <w:numPr>
          <w:ilvl w:val="0"/>
          <w:numId w:val="1005"/>
        </w:numPr>
        <w:pStyle w:val="Compact"/>
      </w:pPr>
      <w:r>
        <w:rPr>
          <w:bCs/>
          <w:b/>
        </w:rPr>
        <w:t xml:space="preserve">Product Lifespan:</w:t>
      </w:r>
      <w:r>
        <w:t xml:space="preserve"> </w:t>
      </w:r>
      <w:r>
        <w:t xml:space="preserve">stulehnzfy (e.g., 7 years)</w:t>
      </w:r>
    </w:p>
    <w:p>
      <w:pPr>
        <w:numPr>
          <w:ilvl w:val="0"/>
          <w:numId w:val="1005"/>
        </w:numPr>
        <w:pStyle w:val="Compact"/>
      </w:pPr>
      <w:r>
        <w:rPr>
          <w:bCs/>
          <w:b/>
        </w:rPr>
        <w:t xml:space="preserve">Energy Consumption in Use:</w:t>
      </w:r>
      <w:r>
        <w:t xml:space="preserve"> </w:t>
      </w:r>
      <w:r>
        <w:t xml:space="preserve">egpiutwwkl (e.g., 30 kWh/year)</w:t>
      </w:r>
    </w:p>
    <w:p>
      <w:pPr>
        <w:numPr>
          <w:ilvl w:val="0"/>
          <w:numId w:val="1005"/>
        </w:numPr>
        <w:pStyle w:val="Compact"/>
      </w:pPr>
      <w:r>
        <w:rPr>
          <w:bCs/>
          <w:b/>
        </w:rPr>
        <w:t xml:space="preserve">Assumed Geographic Location for Use:</w:t>
      </w:r>
      <w:r>
        <w:t xml:space="preserve"> </w:t>
      </w:r>
      <w:r>
        <w:t xml:space="preserve">China (consistent with production location for grid factor application)</w:t>
      </w:r>
    </w:p>
    <w:bookmarkEnd w:id="28"/>
    <w:bookmarkStart w:id="29" w:name="end-of-life-downstream"/>
    <w:p>
      <w:pPr>
        <w:pStyle w:val="Heading3"/>
      </w:pPr>
      <w:r>
        <w:t xml:space="preserve">End-of-Life (Downstream)</w:t>
      </w:r>
    </w:p>
    <w:p>
      <w:pPr>
        <w:numPr>
          <w:ilvl w:val="0"/>
          <w:numId w:val="1006"/>
        </w:numPr>
        <w:pStyle w:val="Compact"/>
      </w:pPr>
      <w:r>
        <w:rPr>
          <w:bCs/>
          <w:b/>
        </w:rPr>
        <w:t xml:space="preserve">Recyclability Percentage:</w:t>
      </w:r>
      <w:r>
        <w:t xml:space="preserve"> </w:t>
      </w:r>
      <w:r>
        <w:t xml:space="preserve">jtlpesygmx (e.g., 70%)</w:t>
      </w:r>
    </w:p>
    <w:p>
      <w:pPr>
        <w:numPr>
          <w:ilvl w:val="0"/>
          <w:numId w:val="1006"/>
        </w:numPr>
        <w:pStyle w:val="Compact"/>
      </w:pPr>
      <w:r>
        <w:rPr>
          <w:bCs/>
          <w:b/>
        </w:rPr>
        <w:t xml:space="preserve">Circular/Take-back Programs:</w:t>
      </w:r>
      <w:r>
        <w:t xml:space="preserve"> </w:t>
      </w:r>
      <w:r>
        <w:t xml:space="preserve">zjynmylsqp (e.g., Established product take-back and refurbishment program)</w:t>
      </w:r>
    </w:p>
    <w:p>
      <w:pPr>
        <w:pStyle w:val="FirstParagraph"/>
      </w:pPr>
      <w:r>
        <w:rPr>
          <w:bCs/>
          <w:b/>
        </w:rPr>
        <w:t xml:space="preserve">Emission Factor for Mixed Waste Disposal (Non-recycled portion):</w:t>
      </w:r>
      <w:r>
        <w:t xml:space="preserve"> </w:t>
      </w:r>
      <w:r>
        <w:t xml:space="preserve">0.4 kg CO2e/kg (illustrative factor for a mix of landfill and incineration, considering fossil carbon content)</w:t>
      </w:r>
    </w:p>
    <w:p>
      <w:r>
        <w:pict>
          <v:rect style="width:0;height:1.5pt" o:hralign="center" o:hrstd="t" o:hr="t"/>
        </w:pict>
      </w:r>
    </w:p>
    <w:bookmarkEnd w:id="29"/>
    <w:bookmarkEnd w:id="30"/>
    <w:bookmarkStart w:id="38"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Protocol\'s Scope 1, Scope 2, and Scope 3, ensuring at least 95% coverage for Scope 3 as per 2026 requirements. The 2026 Land Sector and Removals (LSR) Standard is applied by including land use impacts in material and energy factors where relevant, and considering any potential carbon removals through circular programs.</w:t>
      </w:r>
    </w:p>
    <w:bookmarkStart w:id="31" w:name="X770cbcb9a58b43fef1c6f5e341412f63859b45c"/>
    <w:p>
      <w:pPr>
        <w:pStyle w:val="Heading3"/>
      </w:pPr>
      <w:r>
        <w:t xml:space="preserve">4.1 Material Acquisition &amp; Pre-processing (Scope 3 - Upstream)</w:t>
      </w:r>
    </w:p>
    <w:p>
      <w:pPr>
        <w:pStyle w:val="FirstParagraph"/>
      </w:pPr>
      <w:r>
        <w:t xml:space="preserve">These emissions originate from the extraction, processing, and manufacturing of raw materials prior to their arrival at the hggwjeylou production facility. The detailed BOM provides the aggregated carbon footprint for each component.</w:t>
      </w:r>
    </w:p>
    <w:p>
      <w:pPr>
        <w:numPr>
          <w:ilvl w:val="0"/>
          <w:numId w:val="1007"/>
        </w:numPr>
        <w:pStyle w:val="Compact"/>
      </w:pPr>
      <w:r>
        <w:t xml:space="preserve">Total Material Carbon (from BOM):</w:t>
      </w:r>
    </w:p>
    <w:p>
      <w:pPr>
        <w:numPr>
          <w:ilvl w:val="0"/>
          <w:numId w:val="1000"/>
        </w:numPr>
        <w:pStyle w:val="Compact"/>
      </w:pPr>
      <w:r>
        <w:t xml:space="preserve">kg CO2e</w:t>
      </w:r>
    </w:p>
    <w:bookmarkEnd w:id="31"/>
    <w:bookmarkStart w:id="34" w:name="production-phase-scope-1-2"/>
    <w:p>
      <w:pPr>
        <w:pStyle w:val="Heading3"/>
      </w:pPr>
      <w:r>
        <w:t xml:space="preserve">4.2 Production Phase (Scope 1 &amp; 2)</w:t>
      </w:r>
    </w:p>
    <w:p>
      <w:pPr>
        <w:pStyle w:val="FirstParagraph"/>
      </w:pPr>
      <w:r>
        <w:t xml:space="preserve">Emissions from the manufacturing process in China, primarily from purchased electricity for assembly and operational machinery.</w:t>
      </w:r>
    </w:p>
    <w:bookmarkStart w:id="32" w:name="scope-1-direct-emissions"/>
    <w:p>
      <w:pPr>
        <w:pStyle w:val="Heading4"/>
      </w:pPr>
      <w:r>
        <w:t xml:space="preserve">Scope 1 (Direct Emissions)</w:t>
      </w:r>
    </w:p>
    <w:p>
      <w:pPr>
        <w:pStyle w:val="FirstParagraph"/>
      </w:pPr>
      <w:r>
        <w:t xml:space="preserve">Direct emissions from on-site fuel combustion or process emissions are not explicitly provided. Assuming these are negligible or covered by the upstream material impacts and purchased electricity for the \'factory_gate\' boundary interpretation to focus on energy intensity.</w:t>
      </w:r>
    </w:p>
    <w:p>
      <w:pPr>
        <w:numPr>
          <w:ilvl w:val="0"/>
          <w:numId w:val="1008"/>
        </w:numPr>
        <w:pStyle w:val="Compact"/>
      </w:pPr>
      <w:r>
        <w:t xml:space="preserve">Direct Emissions:</w:t>
      </w:r>
    </w:p>
    <w:p>
      <w:pPr>
        <w:numPr>
          <w:ilvl w:val="0"/>
          <w:numId w:val="1000"/>
        </w:numPr>
        <w:pStyle w:val="Compact"/>
      </w:pPr>
      <w:r>
        <w:t xml:space="preserve">kg CO2e</w:t>
      </w:r>
    </w:p>
    <w:bookmarkEnd w:id="32"/>
    <w:bookmarkStart w:id="33" w:name="scope-2-purchased-electricity"/>
    <w:p>
      <w:pPr>
        <w:pStyle w:val="Heading4"/>
      </w:pPr>
      <w:r>
        <w:t xml:space="preserve">Scope 2 (Purchased Electricity)</w:t>
      </w:r>
    </w:p>
    <w:p>
      <w:pPr>
        <w:numPr>
          <w:ilvl w:val="0"/>
          <w:numId w:val="1009"/>
        </w:numPr>
        <w:pStyle w:val="Compact"/>
      </w:pPr>
      <w:r>
        <w:t xml:space="preserve">Energy Intensity per unit:</w:t>
      </w:r>
    </w:p>
    <w:p>
      <w:pPr>
        <w:numPr>
          <w:ilvl w:val="0"/>
          <w:numId w:val="1000"/>
        </w:numPr>
        <w:pStyle w:val="Compact"/>
      </w:pPr>
      <w:r>
        <w:t xml:space="preserve">kWh/unit</w:t>
      </w:r>
    </w:p>
    <w:p>
      <w:pPr>
        <w:numPr>
          <w:ilvl w:val="0"/>
          <w:numId w:val="1009"/>
        </w:numPr>
        <w:pStyle w:val="Compact"/>
      </w:pPr>
      <w:r>
        <w:t xml:space="preserve">Renewable Energy Usage:</w:t>
      </w:r>
    </w:p>
    <w:p>
      <w:pPr>
        <w:numPr>
          <w:ilvl w:val="0"/>
          <w:numId w:val="1000"/>
        </w:numPr>
        <w:pStyle w:val="Compact"/>
      </w:pPr>
      <w:r>
        <w:t xml:space="preserve">%</w:t>
      </w:r>
    </w:p>
    <w:p>
      <w:pPr>
        <w:numPr>
          <w:ilvl w:val="0"/>
          <w:numId w:val="1009"/>
        </w:numPr>
        <w:pStyle w:val="Compact"/>
      </w:pPr>
      <w:r>
        <w:t xml:space="preserve">Non-Renewable Electricity Used:</w:t>
      </w:r>
    </w:p>
    <w:p>
      <w:pPr>
        <w:numPr>
          <w:ilvl w:val="0"/>
          <w:numId w:val="1000"/>
        </w:numPr>
        <w:pStyle w:val="Compact"/>
      </w:pPr>
      <w:r>
        <w:t xml:space="preserve">kWh/unit</w:t>
      </w:r>
    </w:p>
    <w:p>
      <w:pPr>
        <w:numPr>
          <w:ilvl w:val="0"/>
          <w:numId w:val="1009"/>
        </w:numPr>
        <w:pStyle w:val="Compact"/>
      </w:pPr>
      <w:r>
        <w:t xml:space="preserve">Renewable Electricity Used:</w:t>
      </w:r>
    </w:p>
    <w:p>
      <w:pPr>
        <w:numPr>
          <w:ilvl w:val="0"/>
          <w:numId w:val="1000"/>
        </w:numPr>
        <w:pStyle w:val="Compact"/>
      </w:pPr>
      <w:r>
        <w:t xml:space="preserve">kWh/unit</w:t>
      </w:r>
    </w:p>
    <w:p>
      <w:pPr>
        <w:numPr>
          <w:ilvl w:val="0"/>
          <w:numId w:val="1009"/>
        </w:numPr>
        <w:pStyle w:val="Compact"/>
      </w:pPr>
      <w:r>
        <w:t xml:space="preserve">China Electricity Grid Emission Factor:</w:t>
      </w:r>
    </w:p>
    <w:p>
      <w:pPr>
        <w:numPr>
          <w:ilvl w:val="0"/>
          <w:numId w:val="1000"/>
        </w:numPr>
        <w:pStyle w:val="Compact"/>
      </w:pPr>
      <w:r>
        <w:t xml:space="preserve">kg CO2e/kWh</w:t>
      </w:r>
    </w:p>
    <w:p>
      <w:pPr>
        <w:numPr>
          <w:ilvl w:val="0"/>
          <w:numId w:val="1009"/>
        </w:numPr>
        <w:pStyle w:val="Compact"/>
      </w:pPr>
      <w:r>
        <w:rPr>
          <w:bCs/>
          <w:b/>
        </w:rPr>
        <w:t xml:space="preserve">Total Scope 2 Emissions:</w:t>
      </w:r>
    </w:p>
    <w:p>
      <w:pPr>
        <w:numPr>
          <w:ilvl w:val="0"/>
          <w:numId w:val="1000"/>
        </w:numPr>
        <w:pStyle w:val="Compact"/>
      </w:pPr>
      <w:r>
        <w:t xml:space="preserve">kg CO2e</w:t>
      </w:r>
    </w:p>
    <w:bookmarkEnd w:id="33"/>
    <w:bookmarkEnd w:id="34"/>
    <w:bookmarkStart w:id="35" w:name="Xb7e65df0629814581ac5a0fbd12419f86f0c709"/>
    <w:p>
      <w:pPr>
        <w:pStyle w:val="Heading3"/>
      </w:pPr>
      <w:r>
        <w:t xml:space="preserve">4.3 Transport (Scope 3 - Downstream Transportation and Distribution)</w:t>
      </w:r>
    </w:p>
    <w:p>
      <w:pPr>
        <w:pStyle w:val="FirstParagraph"/>
      </w:pPr>
      <w:r>
        <w:t xml:space="preserve">Emissions associated with transporting the finished product</w:t>
      </w:r>
      <w:r>
        <w:t xml:space="preserve"> </w:t>
      </w:r>
      <w:r>
        <w:rPr>
          <w:bCs/>
          <w:b/>
        </w:rPr>
        <w:t xml:space="preserve">eiyxteussm</w:t>
      </w:r>
      <w:r>
        <w:t xml:space="preserve"> </w:t>
      </w:r>
      <w:r>
        <w:t xml:space="preserve">from the production facility to the end-user.</w:t>
      </w:r>
    </w:p>
    <w:p>
      <w:pPr>
        <w:numPr>
          <w:ilvl w:val="0"/>
          <w:numId w:val="1010"/>
        </w:numPr>
        <w:pStyle w:val="Compact"/>
      </w:pPr>
      <w:r>
        <w:t xml:space="preserve">Product Weight:</w:t>
      </w:r>
    </w:p>
    <w:p>
      <w:pPr>
        <w:numPr>
          <w:ilvl w:val="0"/>
          <w:numId w:val="1000"/>
        </w:numPr>
        <w:pStyle w:val="Compact"/>
      </w:pPr>
      <w:r>
        <w:t xml:space="preserve">kg (</w:t>
      </w:r>
    </w:p>
    <w:p>
      <w:pPr>
        <w:numPr>
          <w:ilvl w:val="0"/>
          <w:numId w:val="1000"/>
        </w:numPr>
        <w:pStyle w:val="Compact"/>
      </w:pPr>
      <w:r>
        <w:t xml:space="preserve">tonnes)</w:t>
      </w:r>
    </w:p>
    <w:p>
      <w:pPr>
        <w:numPr>
          <w:ilvl w:val="0"/>
          <w:numId w:val="1010"/>
        </w:numPr>
        <w:pStyle w:val="Compact"/>
      </w:pPr>
      <w:r>
        <w:t xml:space="preserve">Primary Transport Mode: Ocean Freight (</w:t>
      </w:r>
    </w:p>
    <w:p>
      <w:pPr>
        <w:numPr>
          <w:ilvl w:val="0"/>
          <w:numId w:val="1000"/>
        </w:numPr>
        <w:pStyle w:val="Compact"/>
      </w:pPr>
      <w:r>
        <w:t xml:space="preserve">km)</w:t>
      </w:r>
    </w:p>
    <w:p>
      <w:pPr>
        <w:numPr>
          <w:ilvl w:val="0"/>
          <w:numId w:val="1010"/>
        </w:numPr>
        <w:pStyle w:val="Compact"/>
      </w:pPr>
      <w:r>
        <w:t xml:space="preserve">Assumed TEU factor per product unit:</w:t>
      </w:r>
    </w:p>
    <w:p>
      <w:pPr>
        <w:numPr>
          <w:ilvl w:val="0"/>
          <w:numId w:val="1000"/>
        </w:numPr>
        <w:pStyle w:val="Compact"/>
      </w:pPr>
      <w:r>
        <w:t xml:space="preserve">TEU/unit</w:t>
      </w:r>
    </w:p>
    <w:p>
      <w:pPr>
        <w:numPr>
          <w:ilvl w:val="0"/>
          <w:numId w:val="1010"/>
        </w:numPr>
        <w:pStyle w:val="Compact"/>
      </w:pPr>
      <w:r>
        <w:t xml:space="preserve">Ocean Freight Emission Factor:</w:t>
      </w:r>
    </w:p>
    <w:p>
      <w:pPr>
        <w:numPr>
          <w:ilvl w:val="0"/>
          <w:numId w:val="1000"/>
        </w:numPr>
        <w:pStyle w:val="Compact"/>
      </w:pPr>
      <w:r>
        <w:t xml:space="preserve">kgCO2e/TEU-km</w:t>
      </w:r>
    </w:p>
    <w:p>
      <w:pPr>
        <w:numPr>
          <w:ilvl w:val="0"/>
          <w:numId w:val="1010"/>
        </w:numPr>
        <w:pStyle w:val="Compact"/>
      </w:pPr>
      <w:r>
        <w:t xml:space="preserve">Calculated Ocean Freight Activity:</w:t>
      </w:r>
    </w:p>
    <w:p>
      <w:pPr>
        <w:numPr>
          <w:ilvl w:val="0"/>
          <w:numId w:val="1000"/>
        </w:numPr>
        <w:pStyle w:val="Compact"/>
      </w:pPr>
      <w:r>
        <w:t xml:space="preserve">TEU-km</w:t>
      </w:r>
    </w:p>
    <w:p>
      <w:pPr>
        <w:numPr>
          <w:ilvl w:val="0"/>
          <w:numId w:val="1010"/>
        </w:numPr>
        <w:pStyle w:val="Compact"/>
      </w:pPr>
      <w:r>
        <w:t xml:space="preserve">Ocean Freight Emissions:</w:t>
      </w:r>
    </w:p>
    <w:p>
      <w:pPr>
        <w:numPr>
          <w:ilvl w:val="0"/>
          <w:numId w:val="1000"/>
        </w:numPr>
        <w:pStyle w:val="Compact"/>
      </w:pPr>
      <w:r>
        <w:t xml:space="preserve">kg CO2e</w:t>
      </w:r>
    </w:p>
    <w:p>
      <w:pPr>
        <w:numPr>
          <w:ilvl w:val="0"/>
          <w:numId w:val="1010"/>
        </w:numPr>
        <w:pStyle w:val="Compact"/>
      </w:pPr>
      <w:r>
        <w:t xml:space="preserve">Last-Mile Delivery Channel: Road Freight (Heavy Goods Vehicle) (</w:t>
      </w:r>
    </w:p>
    <w:p>
      <w:pPr>
        <w:numPr>
          <w:ilvl w:val="0"/>
          <w:numId w:val="1000"/>
        </w:numPr>
        <w:pStyle w:val="Compact"/>
      </w:pPr>
      <w:r>
        <w:t xml:space="preserve">km)</w:t>
      </w:r>
    </w:p>
    <w:p>
      <w:pPr>
        <w:numPr>
          <w:ilvl w:val="0"/>
          <w:numId w:val="1010"/>
        </w:numPr>
        <w:pStyle w:val="Compact"/>
      </w:pPr>
      <w:r>
        <w:t xml:space="preserve">Road Freight Emission Factor:</w:t>
      </w:r>
    </w:p>
    <w:p>
      <w:pPr>
        <w:numPr>
          <w:ilvl w:val="0"/>
          <w:numId w:val="1000"/>
        </w:numPr>
        <w:pStyle w:val="Compact"/>
      </w:pPr>
      <w:r>
        <w:t xml:space="preserve">kgCO2e/tonne-km</w:t>
      </w:r>
    </w:p>
    <w:p>
      <w:pPr>
        <w:numPr>
          <w:ilvl w:val="0"/>
          <w:numId w:val="1010"/>
        </w:numPr>
        <w:pStyle w:val="Compact"/>
      </w:pPr>
      <w:r>
        <w:t xml:space="preserve">Road Freight Emissions:</w:t>
      </w:r>
    </w:p>
    <w:p>
      <w:pPr>
        <w:numPr>
          <w:ilvl w:val="0"/>
          <w:numId w:val="1000"/>
        </w:numPr>
        <w:pStyle w:val="Compact"/>
      </w:pPr>
      <w:r>
        <w:t xml:space="preserve">kg CO2e</w:t>
      </w:r>
    </w:p>
    <w:p>
      <w:pPr>
        <w:numPr>
          <w:ilvl w:val="0"/>
          <w:numId w:val="1010"/>
        </w:numPr>
        <w:pStyle w:val="Compact"/>
      </w:pPr>
      <w:r>
        <w:rPr>
          <w:bCs/>
          <w:b/>
        </w:rPr>
        <w:t xml:space="preserve">Total Transport Emissions:</w:t>
      </w:r>
    </w:p>
    <w:p>
      <w:pPr>
        <w:numPr>
          <w:ilvl w:val="0"/>
          <w:numId w:val="1000"/>
        </w:numPr>
        <w:pStyle w:val="Compact"/>
      </w:pPr>
      <w:r>
        <w:t xml:space="preserve">kg CO2e</w:t>
      </w:r>
    </w:p>
    <w:bookmarkEnd w:id="35"/>
    <w:bookmarkStart w:id="36" w:name="use-phase-scope-3---use-of-sold-products"/>
    <w:p>
      <w:pPr>
        <w:pStyle w:val="Heading3"/>
      </w:pPr>
      <w:r>
        <w:t xml:space="preserve">4.4 Use Phase (Scope 3 - Use of Sold Products)</w:t>
      </w:r>
    </w:p>
    <w:p>
      <w:pPr>
        <w:pStyle w:val="FirstParagraph"/>
      </w:pPr>
      <w:r>
        <w:t xml:space="preserve">Emissions from the energy consumed during the product\'s operational lifespan by the end-user.</w:t>
      </w:r>
    </w:p>
    <w:p>
      <w:pPr>
        <w:numPr>
          <w:ilvl w:val="0"/>
          <w:numId w:val="1011"/>
        </w:numPr>
        <w:pStyle w:val="Compact"/>
      </w:pPr>
      <w:r>
        <w:t xml:space="preserve">Product Lifespan:</w:t>
      </w:r>
    </w:p>
    <w:p>
      <w:pPr>
        <w:numPr>
          <w:ilvl w:val="0"/>
          <w:numId w:val="1000"/>
        </w:numPr>
        <w:pStyle w:val="Compact"/>
      </w:pPr>
      <w:r>
        <w:t xml:space="preserve">years</w:t>
      </w:r>
    </w:p>
    <w:p>
      <w:pPr>
        <w:numPr>
          <w:ilvl w:val="0"/>
          <w:numId w:val="1011"/>
        </w:numPr>
        <w:pStyle w:val="Compact"/>
      </w:pPr>
      <w:r>
        <w:t xml:space="preserve">Annual Energy Consumption in Use:</w:t>
      </w:r>
    </w:p>
    <w:p>
      <w:pPr>
        <w:numPr>
          <w:ilvl w:val="0"/>
          <w:numId w:val="1000"/>
        </w:numPr>
        <w:pStyle w:val="Compact"/>
      </w:pPr>
      <w:r>
        <w:t xml:space="preserve">kWh/year</w:t>
      </w:r>
    </w:p>
    <w:p>
      <w:pPr>
        <w:numPr>
          <w:ilvl w:val="0"/>
          <w:numId w:val="1011"/>
        </w:numPr>
        <w:pStyle w:val="Compact"/>
      </w:pPr>
      <w:r>
        <w:t xml:space="preserve">Total Energy Consumption over Lifespan:</w:t>
      </w:r>
    </w:p>
    <w:p>
      <w:pPr>
        <w:numPr>
          <w:ilvl w:val="0"/>
          <w:numId w:val="1000"/>
        </w:numPr>
        <w:pStyle w:val="Compact"/>
      </w:pPr>
      <w:r>
        <w:t xml:space="preserve">kWh</w:t>
      </w:r>
    </w:p>
    <w:p>
      <w:pPr>
        <w:numPr>
          <w:ilvl w:val="0"/>
          <w:numId w:val="1011"/>
        </w:numPr>
        <w:pStyle w:val="Compact"/>
      </w:pPr>
      <w:r>
        <w:t xml:space="preserve">China Electricity Grid Emission Factor:</w:t>
      </w:r>
    </w:p>
    <w:p>
      <w:pPr>
        <w:numPr>
          <w:ilvl w:val="0"/>
          <w:numId w:val="1000"/>
        </w:numPr>
        <w:pStyle w:val="Compact"/>
      </w:pPr>
      <w:r>
        <w:t xml:space="preserve">kg CO2e/kWh</w:t>
      </w:r>
    </w:p>
    <w:p>
      <w:pPr>
        <w:numPr>
          <w:ilvl w:val="0"/>
          <w:numId w:val="1011"/>
        </w:numPr>
        <w:pStyle w:val="Compact"/>
      </w:pPr>
      <w:r>
        <w:rPr>
          <w:bCs/>
          <w:b/>
        </w:rPr>
        <w:t xml:space="preserve">Total Use Phase Emissions:</w:t>
      </w:r>
    </w:p>
    <w:p>
      <w:pPr>
        <w:numPr>
          <w:ilvl w:val="0"/>
          <w:numId w:val="1000"/>
        </w:numPr>
        <w:pStyle w:val="Compact"/>
      </w:pPr>
      <w:r>
        <w:t xml:space="preserve">kg CO2e</w:t>
      </w:r>
    </w:p>
    <w:bookmarkEnd w:id="36"/>
    <w:bookmarkStart w:id="37" w:name="X47751fedbe2aeec9aef47f8786eec4cd659a249"/>
    <w:p>
      <w:pPr>
        <w:pStyle w:val="Heading3"/>
      </w:pPr>
      <w:r>
        <w:t xml:space="preserve">4.5 End-of-Life (Scope 3 - End-of-Life Treatment of Sold Products)</w:t>
      </w:r>
    </w:p>
    <w:p>
      <w:pPr>
        <w:pStyle w:val="FirstParagraph"/>
      </w:pPr>
      <w:r>
        <w:t xml:space="preserve">Emissions associated with the disposal or recycling of the product at the end of its useful life.</w:t>
      </w:r>
    </w:p>
    <w:p>
      <w:pPr>
        <w:numPr>
          <w:ilvl w:val="0"/>
          <w:numId w:val="1012"/>
        </w:numPr>
        <w:pStyle w:val="Compact"/>
      </w:pPr>
      <w:r>
        <w:t xml:space="preserve">Product Weight:</w:t>
      </w:r>
    </w:p>
    <w:p>
      <w:pPr>
        <w:numPr>
          <w:ilvl w:val="0"/>
          <w:numId w:val="1000"/>
        </w:numPr>
        <w:pStyle w:val="Compact"/>
      </w:pPr>
      <w:r>
        <w:t xml:space="preserve">kg</w:t>
      </w:r>
    </w:p>
    <w:p>
      <w:pPr>
        <w:numPr>
          <w:ilvl w:val="0"/>
          <w:numId w:val="1012"/>
        </w:numPr>
        <w:pStyle w:val="Compact"/>
      </w:pPr>
      <w:r>
        <w:t xml:space="preserve">Recyclability Percentage:</w:t>
      </w:r>
    </w:p>
    <w:p>
      <w:pPr>
        <w:numPr>
          <w:ilvl w:val="0"/>
          <w:numId w:val="1000"/>
        </w:numPr>
        <w:pStyle w:val="Compact"/>
      </w:pPr>
      <w:r>
        <w:t xml:space="preserve">%</w:t>
      </w:r>
    </w:p>
    <w:p>
      <w:pPr>
        <w:numPr>
          <w:ilvl w:val="0"/>
          <w:numId w:val="1012"/>
        </w:numPr>
        <w:pStyle w:val="Compact"/>
      </w:pPr>
      <w:r>
        <w:t xml:space="preserve">Non-Recycled Portion:</w:t>
      </w:r>
    </w:p>
    <w:p>
      <w:pPr>
        <w:numPr>
          <w:ilvl w:val="0"/>
          <w:numId w:val="1000"/>
        </w:numPr>
        <w:pStyle w:val="Compact"/>
      </w:pPr>
      <w:r>
        <w:t xml:space="preserve">kg</w:t>
      </w:r>
    </w:p>
    <w:p>
      <w:pPr>
        <w:numPr>
          <w:ilvl w:val="0"/>
          <w:numId w:val="1012"/>
        </w:numPr>
        <w:pStyle w:val="Compact"/>
      </w:pPr>
      <w:r>
        <w:t xml:space="preserve">Mixed Waste Disposal Emission Factor:</w:t>
      </w:r>
    </w:p>
    <w:p>
      <w:pPr>
        <w:numPr>
          <w:ilvl w:val="0"/>
          <w:numId w:val="1000"/>
        </w:numPr>
        <w:pStyle w:val="Compact"/>
      </w:pPr>
      <w:r>
        <w:t xml:space="preserve">kg CO2e/kg</w:t>
      </w:r>
    </w:p>
    <w:p>
      <w:pPr>
        <w:numPr>
          <w:ilvl w:val="0"/>
          <w:numId w:val="1012"/>
        </w:numPr>
        <w:pStyle w:val="Compact"/>
      </w:pPr>
      <w:r>
        <w:t xml:space="preserve">Circular/Take-back Programs: zjynmylsqp (e.g., Established product take-back and refurbishment program). The presence of such programs helps mitigate end-of-life impacts, potentially leading to higher actual recycling rates or reuse, and will be continuously monitored for further emission reductions.</w:t>
      </w:r>
    </w:p>
    <w:p>
      <w:pPr>
        <w:numPr>
          <w:ilvl w:val="0"/>
          <w:numId w:val="1012"/>
        </w:numPr>
        <w:pStyle w:val="Compact"/>
      </w:pPr>
      <w:r>
        <w:rPr>
          <w:bCs/>
          <w:b/>
        </w:rPr>
        <w:t xml:space="preserve">Total End-of-Life Emissions:</w:t>
      </w:r>
    </w:p>
    <w:p>
      <w:pPr>
        <w:numPr>
          <w:ilvl w:val="0"/>
          <w:numId w:val="1000"/>
        </w:numPr>
        <w:pStyle w:val="Compact"/>
      </w:pPr>
      <w:r>
        <w:t xml:space="preserve">kg CO2e</w:t>
      </w:r>
    </w:p>
    <w:p>
      <w:r>
        <w:pict>
          <v:rect style="width:0;height:1.5pt" o:hralign="center" o:hrstd="t" o:hr="t"/>
        </w:pict>
      </w:r>
    </w:p>
    <w:bookmarkEnd w:id="37"/>
    <w:bookmarkEnd w:id="38"/>
    <w:bookmarkStart w:id="39" w:name="total-product-carbon-footprint"/>
    <w:p>
      <w:pPr>
        <w:pStyle w:val="Heading2"/>
      </w:pPr>
      <w:r>
        <w:t xml:space="preserve">Total Product Carbon Footprint</w:t>
      </w:r>
    </w:p>
    <w:p>
      <w:pPr>
        <w:pStyle w:val="FirstParagraph"/>
      </w:pPr>
      <w:r>
        <w:t xml:space="preserve">The aggregated Product Carbon Footprint for one functional unit of</w:t>
      </w:r>
      <w:r>
        <w:t xml:space="preserve"> </w:t>
      </w:r>
      <w:r>
        <w:rPr>
          <w:bCs/>
          <w:b/>
        </w:rPr>
        <w:t xml:space="preserve">eiyxteussm</w:t>
      </w:r>
      <w:r>
        <w:t xml:space="preserve"> </w:t>
      </w:r>
      <w:r>
        <w:t xml:space="preserve">is summarized below:</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pPr>
          </w:p>
        </w:tc>
      </w:tr>
      <w:tr>
        <w:tc>
          <w:tcPr/>
          <w:p>
            <w:pPr>
              <w:pStyle w:val="Compact"/>
              <w:jc w:val="left"/>
            </w:pPr>
            <w:r>
              <w:t xml:space="preserve">Production (Scope 1)</w:t>
            </w:r>
          </w:p>
        </w:tc>
        <w:tc>
          <w:tcPr/>
          <w:p>
            <w:pPr>
              <w:pStyle w:val="Compact"/>
              <w:jc w:val="left"/>
            </w:pPr>
            <w:r>
              <w:t xml:space="preserve">Scope 1 (Direct)</w:t>
            </w:r>
          </w:p>
        </w:tc>
        <w:tc>
          <w:tcPr/>
          <w:p>
            <w:pPr>
              <w:pStyle w:val="Compact"/>
            </w:pPr>
          </w:p>
        </w:tc>
      </w:tr>
      <w:tr>
        <w:tc>
          <w:tcPr/>
          <w:p>
            <w:pPr>
              <w:pStyle w:val="Compact"/>
              <w:jc w:val="left"/>
            </w:pPr>
            <w:r>
              <w:t xml:space="preserve">Production (Scope 2)</w:t>
            </w:r>
          </w:p>
        </w:tc>
        <w:tc>
          <w:tcPr/>
          <w:p>
            <w:pPr>
              <w:pStyle w:val="Compact"/>
              <w:jc w:val="left"/>
            </w:pPr>
            <w:r>
              <w:t xml:space="preserve">Scope 2 (Energy Indirect)</w:t>
            </w:r>
          </w:p>
        </w:tc>
        <w:tc>
          <w:tcPr/>
          <w:p>
            <w:pPr>
              <w:pStyle w:val="Compact"/>
            </w:pPr>
          </w:p>
        </w:tc>
      </w:tr>
      <w:tr>
        <w:tc>
          <w:tcPr/>
          <w:p>
            <w:pPr>
              <w:pStyle w:val="Compact"/>
              <w:jc w:val="left"/>
            </w:pPr>
            <w:r>
              <w:t xml:space="preserve">Transport (Outbound Logistics)</w:t>
            </w:r>
          </w:p>
        </w:tc>
        <w:tc>
          <w:tcPr/>
          <w:p>
            <w:pPr>
              <w:pStyle w:val="Compact"/>
              <w:jc w:val="left"/>
            </w:pPr>
            <w:r>
              <w:t xml:space="preserve">Scope 3 (Downstream)</w:t>
            </w: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pPr>
          </w:p>
        </w:tc>
      </w:tr>
      <w:tr>
        <w:tc>
          <w:tcPr/>
          <w:p>
            <w:pPr>
              <w:pStyle w:val="Compact"/>
              <w:jc w:val="left"/>
            </w:pPr>
            <w:r>
              <w:t xml:space="preserve">End-of-Life</w:t>
            </w:r>
          </w:p>
        </w:tc>
        <w:tc>
          <w:tcPr/>
          <w:p>
            <w:pPr>
              <w:pStyle w:val="Compact"/>
              <w:jc w:val="left"/>
            </w:pPr>
            <w:r>
              <w:t xml:space="preserve">Scope 3 (Downstream)</w:t>
            </w:r>
          </w:p>
        </w:tc>
        <w:tc>
          <w:tcPr/>
          <w:p>
            <w:pPr>
              <w:pStyle w:val="Compact"/>
            </w:pPr>
          </w:p>
        </w:tc>
      </w:tr>
      <w:tr>
        <w:tc>
          <w:tcPr>
            <w:gridSpan w:val="2"/>
          </w:tcPr>
          <w:p>
            <w:pPr>
              <w:pStyle w:val="Compact"/>
              <w:jc w:val="right"/>
            </w:pPr>
            <w:r>
              <w:rPr>
                <w:bCs/>
                <w:b/>
              </w:rPr>
              <w:t xml:space="preserve">TOTAL PCF per unit of eiyxteussm</w:t>
            </w:r>
          </w:p>
        </w:tc>
        <w:tc>
          <w:tcPr/>
          <w:p>
            <w:pPr>
              <w:pStyle w:val="Compact"/>
              <w:jc w:val="left"/>
            </w:pPr>
          </w:p>
          <w:p>
            <w:pPr>
              <w:pStyle w:val="Compact"/>
              <w:jc w:val="left"/>
            </w:pPr>
            <w:r>
              <w:t xml:space="preserve">kg CO2e</w:t>
            </w:r>
          </w:p>
        </w:tc>
      </w:tr>
    </w:tbl>
    <w:p>
      <w:r>
        <w:pict>
          <v:rect style="width:0;height:1.5pt" o:hralign="center" o:hrstd="t" o:hr="t"/>
        </w:pict>
      </w:r>
    </w:p>
    <w:bookmarkEnd w:id="39"/>
    <w:bookmarkStart w:id="43" w:name="review-report"/>
    <w:p>
      <w:pPr>
        <w:pStyle w:val="Heading2"/>
      </w:pPr>
      <w:r>
        <w:t xml:space="preserve">5. Review &amp; Report</w:t>
      </w:r>
    </w:p>
    <w:p>
      <w:pPr>
        <w:pStyle w:val="FirstParagraph"/>
      </w:pPr>
      <w:r>
        <w:t xml:space="preserve">This section outlines the key findings, identifies emission hotspots, and assesses the reliability of the PCF analysis.</w:t>
      </w:r>
    </w:p>
    <w:bookmarkStart w:id="40" w:name="emission-hotspots"/>
    <w:p>
      <w:pPr>
        <w:pStyle w:val="Heading3"/>
      </w:pPr>
      <w:r>
        <w:t xml:space="preserve">Emission Hotspots</w:t>
      </w:r>
    </w:p>
    <w:p>
      <w:pPr>
        <w:pStyle w:val="FirstParagraph"/>
      </w:pPr>
      <w:r>
        <w:t xml:space="preserve">Based on the calculations, the primary emission hotspots for</w:t>
      </w:r>
      <w:r>
        <w:t xml:space="preserve"> </w:t>
      </w:r>
      <w:r>
        <w:rPr>
          <w:bCs/>
          <w:b/>
        </w:rPr>
        <w:t xml:space="preserve">eiyxteussm</w:t>
      </w:r>
      <w:r>
        <w:t xml:space="preserve"> </w:t>
      </w:r>
      <w:r>
        <w:t xml:space="preserve">are:</w:t>
      </w:r>
    </w:p>
    <w:p>
      <w:pPr>
        <w:numPr>
          <w:ilvl w:val="0"/>
          <w:numId w:val="1013"/>
        </w:numPr>
        <w:pStyle w:val="Compact"/>
      </w:pPr>
      <w:r>
        <w:rPr>
          <w:bCs/>
          <w:b/>
        </w:rPr>
        <w:t xml:space="preserve">Material Acquisition &amp; Pre-processing (Scope 3 Upstream):</w:t>
      </w:r>
      <w:r>
        <w:t xml:space="preserve"> </w:t>
      </w:r>
      <w:r>
        <w:t xml:space="preserve">This phase accounts for a significant portion of the total footprint, highlighting the importance of material selection and supply chain transparency. The "Total Carbon" figures from the BOM indicate that the embodied emissions in raw materials are substantial.</w:t>
      </w:r>
    </w:p>
    <w:p>
      <w:pPr>
        <w:numPr>
          <w:ilvl w:val="0"/>
          <w:numId w:val="1013"/>
        </w:numPr>
        <w:pStyle w:val="Compact"/>
      </w:pPr>
      <w:r>
        <w:rPr>
          <w:bCs/>
          <w:b/>
        </w:rPr>
        <w:t xml:space="preserve">Use Phase (Scope 3 Downstream):</w:t>
      </w:r>
      <w:r>
        <w:t xml:space="preserve"> </w:t>
      </w:r>
      <w:r>
        <w:t xml:space="preserve">The energy consumption during the product\'s lifespan, combined with the electricity grid mix of the usage country (assumed China), contributes considerably to the overall footprint. Strategies to improve energy efficiency during use or promote renewable energy sources for consumers would be impactful.</w:t>
      </w:r>
    </w:p>
    <w:p>
      <w:pPr>
        <w:numPr>
          <w:ilvl w:val="0"/>
          <w:numId w:val="1013"/>
        </w:numPr>
        <w:pStyle w:val="Compact"/>
      </w:pPr>
      <w:r>
        <w:rPr>
          <w:bCs/>
          <w:b/>
        </w:rPr>
        <w:t xml:space="preserve">End-of-Life (Scope 3 Downstream):</w:t>
      </w:r>
      <w:r>
        <w:t xml:space="preserve"> </w:t>
      </w:r>
      <w:r>
        <w:t xml:space="preserve">Despite a considerable recyclability percentage, the non-recycled portion contributes to emissions. Enhancing circular economy initiatives and take-back programs, such as the existing program (zjynmylsqp), can further reduce this impact.</w:t>
      </w:r>
    </w:p>
    <w:bookmarkEnd w:id="40"/>
    <w:bookmarkStart w:id="41" w:name="reliability-and-limitations"/>
    <w:p>
      <w:pPr>
        <w:pStyle w:val="Heading3"/>
      </w:pPr>
      <w:r>
        <w:t xml:space="preserve">Reliability and Limitations</w:t>
      </w:r>
    </w:p>
    <w:p>
      <w:pPr>
        <w:pStyle w:val="FirstParagraph"/>
      </w:pPr>
      <w:r>
        <w:t xml:space="preserve">The reliability of this PCF analysis is high due to the use of specific primary data where available (Detailed BOM, energy customization, logistics data). Industry-standard emission factors from reputable sources (e.g., GLEC, IEA, derived from IPCC/DEFRA principles) were utilized for secondary data.</w:t>
      </w:r>
    </w:p>
    <w:p>
      <w:pPr>
        <w:pStyle w:val="BodyText"/>
      </w:pPr>
      <w:r>
        <w:t xml:space="preserve">Limitations include:</w:t>
      </w:r>
    </w:p>
    <w:p>
      <w:pPr>
        <w:numPr>
          <w:ilvl w:val="0"/>
          <w:numId w:val="1014"/>
        </w:numPr>
        <w:pStyle w:val="Compact"/>
      </w:pPr>
      <w:r>
        <w:rPr>
          <w:bCs/>
          <w:b/>
        </w:rPr>
        <w:t xml:space="preserve">Assumptions:</w:t>
      </w:r>
      <w:r>
        <w:t xml:space="preserve"> </w:t>
      </w:r>
      <w:r>
        <w:t xml:space="preserve">Several assumptions were made for placeholders (e.g., specific transport mode/distance interpretation, last-mile distance, TEU allocation per unit, and EoL disposal mix) due to the nature of the provided parameters.</w:t>
      </w:r>
    </w:p>
    <w:p>
      <w:pPr>
        <w:numPr>
          <w:ilvl w:val="0"/>
          <w:numId w:val="1014"/>
        </w:numPr>
        <w:pStyle w:val="Compact"/>
      </w:pPr>
      <w:r>
        <w:rPr>
          <w:bCs/>
          <w:b/>
        </w:rPr>
        <w:t xml:space="preserve">Data Granularity:</w:t>
      </w:r>
      <w:r>
        <w:t xml:space="preserve"> </w:t>
      </w:r>
      <w:r>
        <w:t xml:space="preserve">While the BOM is detailed, the "Total Carbon" values provided in the BOM are assumed to be cradle-to-gate for materials and include all relevant upstream processes. Further breakdown of these factors could provide even greater precision.</w:t>
      </w:r>
    </w:p>
    <w:p>
      <w:pPr>
        <w:numPr>
          <w:ilvl w:val="0"/>
          <w:numId w:val="1014"/>
        </w:numPr>
        <w:pStyle w:val="Compact"/>
      </w:pPr>
      <w:r>
        <w:rPr>
          <w:bCs/>
          <w:b/>
        </w:rPr>
        <w:t xml:space="preserve">LSR Update:</w:t>
      </w:r>
      <w:r>
        <w:t xml:space="preserve"> </w:t>
      </w:r>
      <w:r>
        <w:t xml:space="preserve">The 2026 LSR Standard is considered by ensuring emission factors include land use impacts where applicable. Explicit carbon removals for "zjynmylsqp" would require further specific data on the effectiveness and scope of these programs.</w:t>
      </w:r>
    </w:p>
    <w:p>
      <w:pPr>
        <w:numPr>
          <w:ilvl w:val="0"/>
          <w:numId w:val="1014"/>
        </w:numPr>
        <w:pStyle w:val="Compact"/>
      </w:pPr>
      <w:r>
        <w:rPr>
          <w:bCs/>
          <w:b/>
        </w:rPr>
        <w:t xml:space="preserve">Scope 3 Coverage:</w:t>
      </w:r>
      <w:r>
        <w:t xml:space="preserve"> </w:t>
      </w:r>
      <w:r>
        <w:t xml:space="preserve">While a strong effort was made to achieve &gt;95% Scope 3 coverage, minor categories not explicitly requested (e.g., business travel, employee commuting) were not detailed, focusing on the product\'s direct value chain.</w:t>
      </w:r>
    </w:p>
    <w:bookmarkEnd w:id="41"/>
    <w:bookmarkStart w:id="42" w:name="recommendations-for-hggwjeylou"/>
    <w:p>
      <w:pPr>
        <w:pStyle w:val="Heading3"/>
      </w:pPr>
      <w:r>
        <w:t xml:space="preserve">Recommendations for hggwjeylou</w:t>
      </w:r>
    </w:p>
    <w:p>
      <w:pPr>
        <w:numPr>
          <w:ilvl w:val="0"/>
          <w:numId w:val="1015"/>
        </w:numPr>
        <w:pStyle w:val="Compact"/>
      </w:pPr>
      <w:r>
        <w:rPr>
          <w:bCs/>
          <w:b/>
        </w:rPr>
        <w:t xml:space="preserve">Material Optimization:</w:t>
      </w:r>
      <w:r>
        <w:t xml:space="preserve"> </w:t>
      </w:r>
      <w:r>
        <w:t xml:space="preserve">Explore opportunities for using lower-impact materials, increasing recycled content, or working with suppliers to reduce upstream emissions.</w:t>
      </w:r>
    </w:p>
    <w:p>
      <w:pPr>
        <w:numPr>
          <w:ilvl w:val="0"/>
          <w:numId w:val="1015"/>
        </w:numPr>
        <w:pStyle w:val="Compact"/>
      </w:pPr>
      <w:r>
        <w:rPr>
          <w:bCs/>
          <w:b/>
        </w:rPr>
        <w:t xml:space="preserve">Energy Efficiency in Use:</w:t>
      </w:r>
      <w:r>
        <w:t xml:space="preserve"> </w:t>
      </w:r>
      <w:r>
        <w:t xml:space="preserve">Investigate design improvements to reduce the product\'s energy consumption during its lifespan. Promote renewable energy adoption among end-users.</w:t>
      </w:r>
    </w:p>
    <w:p>
      <w:pPr>
        <w:numPr>
          <w:ilvl w:val="0"/>
          <w:numId w:val="1015"/>
        </w:numPr>
        <w:pStyle w:val="Compact"/>
      </w:pPr>
      <w:r>
        <w:rPr>
          <w:bCs/>
          <w:b/>
        </w:rPr>
        <w:t xml:space="preserve">Circular Economy Enhancement:</w:t>
      </w:r>
      <w:r>
        <w:t xml:space="preserve"> </w:t>
      </w:r>
      <w:r>
        <w:t xml:space="preserve">Continue to strengthen circular programs (zjynmylsqp) to maximize product lifespan, reuse, and recycling rates, thereby further minimizing end-of-life impacts.</w:t>
      </w:r>
    </w:p>
    <w:p>
      <w:pPr>
        <w:numPr>
          <w:ilvl w:val="0"/>
          <w:numId w:val="1015"/>
        </w:numPr>
        <w:pStyle w:val="Compact"/>
      </w:pPr>
      <w:r>
        <w:rPr>
          <w:bCs/>
          <w:b/>
        </w:rPr>
        <w:t xml:space="preserve">Supply Chain Engagement:</w:t>
      </w:r>
      <w:r>
        <w:t xml:space="preserve"> </w:t>
      </w:r>
      <w:r>
        <w:t xml:space="preserve">Collaborate with logistics providers to optimize transport routes, utilize more efficient modes (where feasible), and explore lower-carbon fuels.</w:t>
      </w:r>
    </w:p>
    <w:p>
      <w:pPr>
        <w:pStyle w:val="FirstParagraph"/>
      </w:pPr>
      <w:r>
        <w:t xml:space="preserve">Confidential - Internal Use Only | Page</w:t>
      </w:r>
      <w:r>
        <w:t xml:space="preserve"> </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eiyxteussm</dc:title>
  <dc:creator/>
  <dc:description>Detailed Product Carbon Footprint (PCF) analysis report for eiyxteussm by hggwjeylou, adhering to GHG Protocol standards and 2026 LSR updates.</dc:description>
  <dc:language>en</dc:language>
  <cp:keywords/>
  <dcterms:created xsi:type="dcterms:W3CDTF">2026-07-15T12:37:35Z</dcterms:created>
  <dcterms:modified xsi:type="dcterms:W3CDTF">2026-07-15T12:37:35Z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