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eirwiimwli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eirwiimwli</w:t>
      </w:r>
    </w:p>
    <w:p>
      <w:pPr>
        <w:pStyle w:val="BodyText"/>
      </w:pPr>
      <w:r>
        <w:rPr>
          <w:bCs/>
          <w:b/>
        </w:rPr>
        <w:t xml:space="preserve">Company Name:</w:t>
      </w:r>
      <w:r>
        <w:t xml:space="preserve"> </w:t>
      </w:r>
      <w:r>
        <w:t xml:space="preserve">rknumkzqkd</w:t>
      </w:r>
    </w:p>
    <w:p>
      <w:pPr>
        <w:pStyle w:val="BodyText"/>
      </w:pPr>
      <w:r>
        <w:rPr>
          <w:bCs/>
          <w:b/>
        </w:rPr>
        <w:t xml:space="preserve">Senior Sustainability Consultant:</w:t>
      </w:r>
      <w:r>
        <w:t xml:space="preserve"> </w:t>
      </w:r>
      <w:r>
        <w:t xml:space="preserve">xgnwdlnsyf</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providing an estimate of the Product Carbon Footprint (PCF) for eirwiimwli. While efforts have been made to ensure accuracy based on the provided parameters, it serves as a high-level analysis and may require further detailed primary data collection for definitive statements.</w:t>
      </w:r>
    </w:p>
    <w:bookmarkEnd w:id="20"/>
    <w:bookmarkStart w:id="21" w:name="Xa14873b0aab150e2c1581deb37211ba620d8e6f"/>
    <w:p>
      <w:pPr>
        <w:pStyle w:val="Heading1"/>
      </w:pPr>
      <w:r>
        <w:t xml:space="preserve">Product Carbon Footprint Analysis Report: eirwiimwli</w:t>
      </w:r>
    </w:p>
    <w:p>
      <w:pPr>
        <w:pStyle w:val="FirstParagraph"/>
      </w:pPr>
      <w:r>
        <w:rPr>
          <w:bCs/>
          <w:b/>
        </w:rPr>
        <w:t xml:space="preserve">Generated Date:</w:t>
      </w:r>
      <w:r>
        <w:t xml:space="preserve"> </w:t>
      </w:r>
      <w:r>
        <w:t xml:space="preserve">May 28, 2026</w:t>
      </w:r>
    </w:p>
    <w:p>
      <w:pPr>
        <w:pStyle w:val="BodyText"/>
      </w:pPr>
      <w:r>
        <w:rPr>
          <w:bCs/>
          <w:b/>
        </w:rPr>
        <w:t xml:space="preserve">Prepared by:</w:t>
      </w:r>
      <w:r>
        <w:t xml:space="preserve"> </w:t>
      </w:r>
      <w:r>
        <w:t xml:space="preserve">xgnwdlnsyf, Senior Sustainability Consultant</w:t>
      </w:r>
    </w:p>
    <w:p>
      <w:pPr>
        <w:pStyle w:val="BodyText"/>
      </w:pPr>
      <w:r>
        <w:rPr>
          <w:bCs/>
          <w:b/>
        </w:rPr>
        <w:t xml:space="preserve">For:</w:t>
      </w:r>
      <w:r>
        <w:t xml:space="preserve"> </w:t>
      </w:r>
      <w:r>
        <w:t xml:space="preserve">rknumkzqkd</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\'eirwiimwli\', manufactured by \'rknumkzqkd\'. Conducted by \'xgnwdlnsyf\', Senior Sustainability Consultant, and adhering strictly to the GHG Protocol, this assessment evaluates greenhouse gas (GHG) emissions across the product\'s lifecycle. The analysis incorporates detailed Bill of Materials (BOM), logistics, production energy, use-phase consumption, and End-of-Life (EoL) scenarios to provide a comprehensive view of the product\'s environmental impact in terms of CO2 equivalent (CO2e) emissions. Key findings highlight material acquisition and the use phase as significant contributors, with the application of renewable energy and robust circular economy programs offering considerable mitigation potential.</w:t>
      </w:r>
    </w:p>
    <w:p>
      <w:r>
        <w:pict>
          <v:rect style="width:0;height:1.5pt" o:hralign="center" o:hrstd="t" o:hr="t"/>
        </w:pict>
      </w:r>
    </w:p>
    <w:bookmarkEnd w:id="22"/>
    <w:bookmarkStart w:id="28" w:name="defining-the-scope"/>
    <w:p>
      <w:pPr>
        <w:pStyle w:val="Heading2"/>
      </w:pPr>
      <w:r>
        <w:t xml:space="preserve">1. Defining the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eirwiimwli</w:t>
      </w:r>
      <w:r>
        <w:t xml:space="preserve">, delivering its intended service throughout its specified lifespan.</w:t>
      </w:r>
    </w:p>
    <w:bookmarkEnd w:id="23"/>
    <w:bookmarkStart w:id="24"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cradle-to-grave</w:t>
      </w:r>
      <w:r>
        <w:t xml:space="preserve">, encompassing all stages from raw material extraction (cradle) through manufacturing, transportation, use phase, and End-of-Life (EoL) disposition (grave). While the primary focus of the initial production boundary is "factory_gate", the analysis extends to downstream phases (use and EoL) as per the detailed parameter requirements to provide a holistic lifecycle assessment.</w:t>
      </w:r>
    </w:p>
    <w:p>
      <w:pPr>
        <w:numPr>
          <w:ilvl w:val="0"/>
          <w:numId w:val="1001"/>
        </w:numPr>
        <w:pStyle w:val="Compact"/>
      </w:pPr>
      <w:r>
        <w:rPr>
          <w:bCs/>
          <w:b/>
        </w:rPr>
        <w:t xml:space="preserve">Upstream (Scope 3):</w:t>
      </w:r>
      <w:r>
        <w:t xml:space="preserve"> </w:t>
      </w:r>
      <w:r>
        <w:t xml:space="preserve">Raw material extraction, processing, and transportation to the manufacturing facility.</w:t>
      </w:r>
    </w:p>
    <w:p>
      <w:pPr>
        <w:numPr>
          <w:ilvl w:val="0"/>
          <w:numId w:val="1001"/>
        </w:numPr>
        <w:pStyle w:val="Compact"/>
      </w:pPr>
      <w:r>
        <w:rPr>
          <w:bCs/>
          <w:b/>
        </w:rPr>
        <w:t xml:space="preserve">Core (Scope 1 &amp; 2):</w:t>
      </w:r>
      <w:r>
        <w:t xml:space="preserve"> </w:t>
      </w:r>
      <w:r>
        <w:t xml:space="preserve">Manufacturing processes at the production facility, including direct emissions (Scope 1, assumed negligible for this product unless otherwise specified) and purchased electricity emissions (Scope 2).</w:t>
      </w:r>
    </w:p>
    <w:p>
      <w:pPr>
        <w:numPr>
          <w:ilvl w:val="0"/>
          <w:numId w:val="1001"/>
        </w:numPr>
        <w:pStyle w:val="Compact"/>
      </w:pPr>
      <w:r>
        <w:rPr>
          <w:bCs/>
          <w:b/>
        </w:rPr>
        <w:t xml:space="preserve">Downstream (Scope 3):</w:t>
      </w:r>
      <w:r>
        <w:t xml:space="preserve"> </w:t>
      </w:r>
      <w:r>
        <w:t xml:space="preserve">Transportation of the finished product to the customer (last-mile delivery), energy consumption during the product\'s use phase, and End-of-Life treatment (recycling, disposal).</w:t>
      </w:r>
    </w:p>
    <w:bookmarkEnd w:id="24"/>
    <w:bookmarkStart w:id="25" w:name="geographic-scope"/>
    <w:p>
      <w:pPr>
        <w:pStyle w:val="Heading3"/>
      </w:pPr>
      <w:r>
        <w:t xml:space="preserve">1.3 Geographic Scope</w:t>
      </w:r>
    </w:p>
    <w:p>
      <w:pPr>
        <w:pStyle w:val="FirstParagraph"/>
      </w:pPr>
      <w:r>
        <w:t xml:space="preserve">The geographic scope for final production is</w:t>
      </w:r>
      <w:r>
        <w:t xml:space="preserve"> </w:t>
      </w:r>
      <w:r>
        <w:rPr>
          <w:bCs/>
          <w:b/>
        </w:rPr>
        <w:t xml:space="preserve">China</w:t>
      </w:r>
      <w:r>
        <w:t xml:space="preserve">. The supply chain focus, particularly for raw material sourcing, is identified as</w:t>
      </w:r>
      <w:r>
        <w:t xml:space="preserve"> </w:t>
      </w:r>
      <w:r>
        <w:rPr>
          <w:bCs/>
          <w:b/>
        </w:rPr>
        <w:t xml:space="preserve">Europe Focused</w:t>
      </w:r>
      <w:r>
        <w:t xml:space="preserve">, implying significant upstream transport and associated emissions from Europe to China.</w:t>
      </w:r>
    </w:p>
    <w:bookmarkEnd w:id="25"/>
    <w:bookmarkStart w:id="26" w:name="allocation"/>
    <w:p>
      <w:pPr>
        <w:pStyle w:val="Heading3"/>
      </w:pPr>
      <w:r>
        <w:t xml:space="preserve">1.4 Allocation</w:t>
      </w:r>
    </w:p>
    <w:p>
      <w:pPr>
        <w:pStyle w:val="FirstParagraph"/>
      </w:pPr>
      <w:r>
        <w:t xml:space="preserve">Emissions are allocated directly to the functional unit (1.0 unit of eirwiimwli). Where shared processes or facilities are involved, standard mass-based or economic allocation methods are applied to attribute relevant environmental burdens to the product. For End-of-Life, the avoided burden approach is utilized to credit for recycled materials based on their virgin material equivalents.</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Product Standard</w:t>
      </w:r>
      <w:r>
        <w:t xml:space="preserve"> </w:t>
      </w:r>
      <w:r>
        <w:t xml:space="preserve">(A Corporate Accounting and Reporting Standard). Emissions are categorized into Scope 1 (direct emissions from owned or controlled sources), Scope 2 (indirect emissions from the generation of purchased energy), and Scope 3 (all other indirect emissions that occur in a company\'s value chain).</w:t>
      </w:r>
    </w:p>
    <w:p>
      <w:pPr>
        <w:pStyle w:val="BodyText"/>
      </w:pPr>
      <w:r>
        <w:t xml:space="preserve">Furthermore, this report incorporates the principles of the</w:t>
      </w:r>
      <w:r>
        <w:t xml:space="preserve"> </w:t>
      </w:r>
      <w:r>
        <w:rPr>
          <w:bCs/>
          <w:b/>
        </w:rPr>
        <w:t xml:space="preserve">2026 Land Sector and Removals (LSR) Standard update</w:t>
      </w:r>
      <w:r>
        <w:t xml:space="preserve">, acknowledging potential impacts and removals related to land use within the value chain. While specific LSR data for \'eirwiimwli\' is not available, its methodological considerations are acknowledged in the overall approach. Additionally, significant effort has been made to ensure at least</w:t>
      </w:r>
      <w:r>
        <w:t xml:space="preserve"> </w:t>
      </w:r>
      <w:r>
        <w:rPr>
          <w:bCs/>
          <w:b/>
        </w:rPr>
        <w:t xml:space="preserve">95% coverage for Scope 3 reporting</w:t>
      </w:r>
      <w:r>
        <w:t xml:space="preserve">, aligning with stringent 2026 requirements for comprehensive value chain emissions disclosure.</w:t>
      </w:r>
    </w:p>
    <w:p>
      <w:r>
        <w:pict>
          <v:rect style="width:0;height:1.5pt" o:hralign="center" o:hrstd="t" o:hr="t"/>
        </w:pict>
      </w:r>
    </w:p>
    <w:bookmarkEnd w:id="27"/>
    <w:bookmarkEnd w:id="28"/>
    <w:bookmarkStart w:id="34" w:name="Xeceb5f3c4cb430539f02d69dd8b49b0c98a11ff"/>
    <w:p>
      <w:pPr>
        <w:pStyle w:val="Heading2"/>
      </w:pPr>
      <w:r>
        <w:t xml:space="preserve">2. Mapping the Lifecycle (LCI Inventory Stages)</w:t>
      </w:r>
    </w:p>
    <w:p>
      <w:pPr>
        <w:pStyle w:val="FirstParagraph"/>
      </w:pPr>
      <w:r>
        <w:t xml:space="preserve">The lifecycle of \'eirwiimwli\' is mapped across five key stages, each with specific activities contributing to the overall carbon footprint:</w:t>
      </w:r>
    </w:p>
    <w:bookmarkStart w:id="29" w:name="Xff31e690bfe279af69cf88b9219fe5d56042afb"/>
    <w:p>
      <w:pPr>
        <w:pStyle w:val="Heading3"/>
      </w:pPr>
      <w:r>
        <w:t xml:space="preserve">2.1 Raw Material Acquisition &amp; Pre-processing (Scope 3 - Upstream)</w:t>
      </w:r>
    </w:p>
    <w:p>
      <w:pPr>
        <w:pStyle w:val="FirstParagraph"/>
      </w:pPr>
      <w:r>
        <w:t xml:space="preserve">This stage includes the extraction, processing, and manufacturing of all components and materials listed in the Bill of Materials (BOM) before they reach the final production facility. Emissions here are primarily associated with energy consumption for material processing, chemical reactions, and waste generation.</w:t>
      </w:r>
    </w:p>
    <w:bookmarkEnd w:id="29"/>
    <w:bookmarkStart w:id="30" w:name="manufacturing-production-scope-1-scope-2"/>
    <w:p>
      <w:pPr>
        <w:pStyle w:val="Heading3"/>
      </w:pPr>
      <w:r>
        <w:t xml:space="preserve">2.2 Manufacturing &amp; Production (Scope 1 &amp; Scope 2)</w:t>
      </w:r>
    </w:p>
    <w:p>
      <w:pPr>
        <w:pStyle w:val="FirstParagraph"/>
      </w:pPr>
      <w:r>
        <w:t xml:space="preserve">This stage covers the assembly and final production of \'eirwiimwli\' at the \'rknumkzqkd\' facility in China. It includes energy consumed during production (e.g., machinery operation, heating, cooling) and any direct on-site emissions. Given the product type, direct Scope 1 emissions are assumed to be negligible unless specific processes (e.g., on-site fuel combustion) are identified. Scope 2 emissions arise from purchased electricity used in the production process.</w:t>
      </w:r>
    </w:p>
    <w:bookmarkEnd w:id="30"/>
    <w:bookmarkStart w:id="31" w:name="X981923b8cb60f0edee598a5efe02199461582eb"/>
    <w:p>
      <w:pPr>
        <w:pStyle w:val="Heading3"/>
      </w:pPr>
      <w:r>
        <w:t xml:space="preserve">2.3 Transportation (Scope 3 - Upstream &amp; Downstream)</w:t>
      </w:r>
    </w:p>
    <w:p>
      <w:pPr>
        <w:pStyle w:val="FirstParagraph"/>
      </w:pPr>
      <w:r>
        <w:t xml:space="preserve">This stage accounts for emissions from transporting materials and the finished product:</w:t>
      </w:r>
    </w:p>
    <w:p>
      <w:pPr>
        <w:numPr>
          <w:ilvl w:val="0"/>
          <w:numId w:val="1002"/>
        </w:numPr>
        <w:pStyle w:val="Compact"/>
      </w:pPr>
      <w:r>
        <w:rPr>
          <w:bCs/>
          <w:b/>
        </w:rPr>
        <w:t xml:space="preserve">Upstream Transport:</w:t>
      </w:r>
      <w:r>
        <w:t xml:space="preserve"> </w:t>
      </w:r>
      <w:r>
        <w:t xml:space="preserve">Movement of raw materials and components from their origin (Europe-focused supply chain) to the manufacturing facility in China. The primary mode selected for this long-distance transport is</w:t>
      </w:r>
      <w:r>
        <w:t xml:space="preserve"> </w:t>
      </w:r>
      <w:r>
        <w:rPr>
          <w:bCs/>
          <w:b/>
        </w:rPr>
        <w:t xml:space="preserve">Ocean Freight (container ship)</w:t>
      </w:r>
      <w:r>
        <w:t xml:space="preserve">.</w:t>
      </w:r>
    </w:p>
    <w:p>
      <w:pPr>
        <w:numPr>
          <w:ilvl w:val="0"/>
          <w:numId w:val="1002"/>
        </w:numPr>
        <w:pStyle w:val="Compact"/>
      </w:pPr>
      <w:r>
        <w:rPr>
          <w:bCs/>
          <w:b/>
        </w:rPr>
        <w:t xml:space="preserve">Downstream Transport (Last-Mile Delivery):</w:t>
      </w:r>
      <w:r>
        <w:t xml:space="preserve"> </w:t>
      </w:r>
      <w:r>
        <w:t xml:space="preserve">Movement of the finished \'eirwiimwli\' from the manufacturing gate or distribution center to the end-consumer. The selected last-mile delivery channel is</w:t>
      </w:r>
      <w:r>
        <w:t xml:space="preserve"> </w:t>
      </w:r>
      <w:r>
        <w:rPr>
          <w:bCs/>
          <w:b/>
        </w:rPr>
        <w:t xml:space="preserve">Van Delivery (road freight)</w:t>
      </w:r>
      <w:r>
        <w:t xml:space="preserve">.</w:t>
      </w:r>
    </w:p>
    <w:bookmarkEnd w:id="31"/>
    <w:bookmarkStart w:id="32" w:name="use-phase-scope-3---downstream"/>
    <w:p>
      <w:pPr>
        <w:pStyle w:val="Heading3"/>
      </w:pPr>
      <w:r>
        <w:t xml:space="preserve">2.4 Use Phase (Scope 3 - Downstream)</w:t>
      </w:r>
    </w:p>
    <w:p>
      <w:pPr>
        <w:pStyle w:val="FirstParagraph"/>
      </w:pPr>
      <w:r>
        <w:t xml:space="preserve">This stage covers the emissions generated during the product\'s expected operational lifespan by the end-user. For \'eirwiimwli\', this primarily involves energy consumption during its active use.</w:t>
      </w:r>
    </w:p>
    <w:bookmarkEnd w:id="32"/>
    <w:bookmarkStart w:id="33" w:name="end-of-life-eol-scope-3---downstream"/>
    <w:p>
      <w:pPr>
        <w:pStyle w:val="Heading3"/>
      </w:pPr>
      <w:r>
        <w:t xml:space="preserve">2.5 End-of-Life (EoL) (Scope 3 - Downstream)</w:t>
      </w:r>
    </w:p>
    <w:p>
      <w:pPr>
        <w:pStyle w:val="FirstParagraph"/>
      </w:pPr>
      <w:r>
        <w:t xml:space="preserve">This stage addresses the environmental impacts associated with the disposal or recovery of \'eirwiimwli\' at the end of its functional life. It considers emissions from landfilling and benefits/credits from recycling or other circular economy initiatives.</w:t>
      </w:r>
    </w:p>
    <w:p>
      <w:r>
        <w:pict>
          <v:rect style="width:0;height:1.5pt" o:hralign="center" o:hrstd="t" o:hr="t"/>
        </w:pict>
      </w:r>
    </w:p>
    <w:bookmarkEnd w:id="33"/>
    <w:bookmarkEnd w:id="34"/>
    <w:bookmarkStart w:id="40" w:name="collecting-data"/>
    <w:p>
      <w:pPr>
        <w:pStyle w:val="Heading2"/>
      </w:pPr>
      <w:r>
        <w:t xml:space="preserve">3. Collecting Data</w:t>
      </w:r>
    </w:p>
    <w:p>
      <w:pPr>
        <w:pStyle w:val="FirstParagraph"/>
      </w:pPr>
      <w:r>
        <w:t xml:space="preserve">Primary data for \'eirwiimwli\' was meticulously collected from company records and specified parameters. Secondary data, including industry-standard emission factors, were sourced from reputable databases (e.g., Ecoinvent, DEFRA equivalents for illustrative purposes) to quantify impacts where primary data was unavailable or to provide industry benchmarks.</w:t>
      </w:r>
    </w:p>
    <w:bookmarkStart w:id="35" w:name="detailed-bill-of-materials-bom"/>
    <w:p>
      <w:pPr>
        <w:pStyle w:val="Heading3"/>
      </w:pPr>
      <w:r>
        <w:t xml:space="preserve">3.1 Detailed Bill of Materials (BOM)</w:t>
      </w:r>
    </w:p>
    <w:p>
      <w:pPr>
        <w:pStyle w:val="FirstParagraph"/>
      </w:pPr>
      <w:r>
        <w:t xml:space="preserve">The following detailed Bill of Materials (BOM) for \'eirwiimwli\' was utilized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0.90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0.02</w:t>
            </w:r>
          </w:p>
        </w:tc>
      </w:tr>
      <w:tr>
        <w:tc>
          <w:tcPr/>
          <w:p>
            <w:pPr>
              <w:pStyle w:val="Compact"/>
              <w:jc w:val="left"/>
            </w:pPr>
            <w:r>
              <w:t xml:space="preserve">6</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jc w:val="left"/>
            </w:pPr>
            <w:r>
              <w:t xml:space="preserve">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0.03</w:t>
            </w:r>
          </w:p>
        </w:tc>
      </w:tr>
    </w:tbl>
    <w:p>
      <w:pPr>
        <w:pStyle w:val="BodyText"/>
      </w:pPr>
      <w:r>
        <w:rPr>
          <w:bCs/>
          <w:b/>
        </w:rPr>
        <w:t xml:space="preserve">Total Weight of Materials (approx.):</w:t>
      </w:r>
      <w:r>
        <w:t xml:space="preserve"> </w:t>
      </w:r>
      <w:r>
        <w:t xml:space="preserve">0.7 kg (sum of Qty in kg/unit)</w:t>
      </w:r>
    </w:p>
    <w:bookmarkEnd w:id="35"/>
    <w:bookmarkStart w:id="36" w:name="logistics-data"/>
    <w:p>
      <w:pPr>
        <w:pStyle w:val="Heading3"/>
      </w:pPr>
      <w:r>
        <w:t xml:space="preserve">3.2 Logistics Data</w:t>
      </w:r>
    </w:p>
    <w:p>
      <w:pPr>
        <w:numPr>
          <w:ilvl w:val="0"/>
          <w:numId w:val="1003"/>
        </w:numPr>
        <w:pStyle w:val="Compact"/>
      </w:pPr>
      <w:r>
        <w:rPr>
          <w:bCs/>
          <w:b/>
        </w:rPr>
        <w:t xml:space="preserve">Upstream Transport Mode:</w:t>
      </w:r>
      <w:r>
        <w:t xml:space="preserve"> </w:t>
      </w:r>
      <w:r>
        <w:t xml:space="preserve">Ocean Freight (container ship)</w:t>
      </w:r>
    </w:p>
    <w:p>
      <w:pPr>
        <w:numPr>
          <w:ilvl w:val="0"/>
          <w:numId w:val="1003"/>
        </w:numPr>
        <w:pStyle w:val="Compact"/>
      </w:pPr>
      <w:r>
        <w:rPr>
          <w:bCs/>
          <w:b/>
        </w:rPr>
        <w:t xml:space="preserve">Upstream Transport Distance:</w:t>
      </w:r>
      <w:r>
        <w:t xml:space="preserve"> </w:t>
      </w:r>
      <w:r>
        <w:t xml:space="preserve">15,000 km (representative distance from Europe to China)</w:t>
      </w:r>
    </w:p>
    <w:p>
      <w:pPr>
        <w:numPr>
          <w:ilvl w:val="0"/>
          <w:numId w:val="1003"/>
        </w:numPr>
        <w:pStyle w:val="Compact"/>
      </w:pPr>
      <w:r>
        <w:rPr>
          <w:bCs/>
          <w:b/>
        </w:rPr>
        <w:t xml:space="preserve">Last-Mile Delivery Channel:</w:t>
      </w:r>
      <w:r>
        <w:t xml:space="preserve"> </w:t>
      </w:r>
      <w:r>
        <w:t xml:space="preserve">Van Delivery (road freight)</w:t>
      </w:r>
    </w:p>
    <w:p>
      <w:pPr>
        <w:numPr>
          <w:ilvl w:val="0"/>
          <w:numId w:val="1003"/>
        </w:numPr>
        <w:pStyle w:val="Compact"/>
      </w:pPr>
      <w:r>
        <w:rPr>
          <w:bCs/>
          <w:b/>
        </w:rPr>
        <w:t xml:space="preserve">Last-Mile Delivery Distance:</w:t>
      </w:r>
      <w:r>
        <w:t xml:space="preserve"> </w:t>
      </w:r>
      <w:r>
        <w:t xml:space="preserve">500 km (representative distance for regional distribution)</w:t>
      </w:r>
    </w:p>
    <w:bookmarkEnd w:id="36"/>
    <w:bookmarkStart w:id="37" w:name="production-energy-data"/>
    <w:p>
      <w:pPr>
        <w:pStyle w:val="Heading3"/>
      </w:pPr>
      <w:r>
        <w:t xml:space="preserve">3.3 Production Energy Data</w:t>
      </w:r>
    </w:p>
    <w:p>
      <w:pPr>
        <w:numPr>
          <w:ilvl w:val="0"/>
          <w:numId w:val="1004"/>
        </w:numPr>
        <w:pStyle w:val="Compact"/>
      </w:pPr>
      <w:r>
        <w:rPr>
          <w:bCs/>
          <w:b/>
        </w:rPr>
        <w:t xml:space="preserve">Renewable Energy Usage:</w:t>
      </w:r>
      <w:r>
        <w:t xml:space="preserve"> </w:t>
      </w:r>
      <w:r>
        <w:t xml:space="preserve">60% of total electricity sourced from renewable origins.</w:t>
      </w:r>
    </w:p>
    <w:p>
      <w:pPr>
        <w:numPr>
          <w:ilvl w:val="0"/>
          <w:numId w:val="1004"/>
        </w:numPr>
        <w:pStyle w:val="Compact"/>
      </w:pPr>
      <w:r>
        <w:rPr>
          <w:bCs/>
          <w:b/>
        </w:rPr>
        <w:t xml:space="preserve">Energy Intensity (kWh/unit):</w:t>
      </w:r>
      <w:r>
        <w:t xml:space="preserve"> </w:t>
      </w:r>
      <w:r>
        <w:t xml:space="preserve">18 kWh per unit of \'eirwiimwli\' during manufacturing.</w:t>
      </w:r>
    </w:p>
    <w:bookmarkEnd w:id="37"/>
    <w:bookmarkStart w:id="38"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in Use:</w:t>
      </w:r>
      <w:r>
        <w:t xml:space="preserve"> </w:t>
      </w:r>
      <w:r>
        <w:t xml:space="preserve">25 kWh per year</w:t>
      </w:r>
    </w:p>
    <w:bookmarkEnd w:id="38"/>
    <w:bookmarkStart w:id="39" w:name="end-of-life-eol-data"/>
    <w:p>
      <w:pPr>
        <w:pStyle w:val="Heading3"/>
      </w:pPr>
      <w:r>
        <w:t xml:space="preserve">3.5 End-of-Life (EoL) Data</w:t>
      </w:r>
    </w:p>
    <w:p>
      <w:pPr>
        <w:numPr>
          <w:ilvl w:val="0"/>
          <w:numId w:val="1006"/>
        </w:numPr>
        <w:pStyle w:val="Compact"/>
      </w:pPr>
      <w:r>
        <w:rPr>
          <w:bCs/>
          <w:b/>
        </w:rPr>
        <w:t xml:space="preserve">Recyclability Percentage:</w:t>
      </w:r>
      <w:r>
        <w:t xml:space="preserve"> </w:t>
      </w:r>
      <w:r>
        <w:t xml:space="preserve">85% of the product materials are technically recyclable.</w:t>
      </w:r>
    </w:p>
    <w:p>
      <w:pPr>
        <w:numPr>
          <w:ilvl w:val="0"/>
          <w:numId w:val="1006"/>
        </w:numPr>
        <w:pStyle w:val="Compact"/>
      </w:pPr>
      <w:r>
        <w:rPr>
          <w:bCs/>
          <w:b/>
        </w:rPr>
        <w:t xml:space="preserve">Circular/Take-back Programs:</w:t>
      </w:r>
      <w:r>
        <w:t xml:space="preserve"> </w:t>
      </w:r>
      <w:r>
        <w:t xml:space="preserve">A robust take-back program is established, aiming to divert 70% of returned products for refurbishment or material recovery, significantly enhancing circularity beyond basic recyclability.</w:t>
      </w:r>
    </w:p>
    <w:p>
      <w:r>
        <w:pict>
          <v:rect style="width:0;height:1.5pt" o:hralign="center" o:hrstd="t" o:hr="t"/>
        </w:pict>
      </w:r>
    </w:p>
    <w:bookmarkEnd w:id="39"/>
    <w:bookmarkEnd w:id="40"/>
    <w:bookmarkStart w:id="50" w:name="calculating-emissions"/>
    <w:p>
      <w:pPr>
        <w:pStyle w:val="Heading2"/>
      </w:pPr>
      <w:r>
        <w:t xml:space="preserve">4. Calculating Emissions</w:t>
      </w:r>
    </w:p>
    <w:p>
      <w:pPr>
        <w:pStyle w:val="FirstParagraph"/>
      </w:pPr>
      <w:r>
        <w:t xml:space="preserve">Emissions were calculated by multiplying activity data (e.g., material quantity, energy consumption, transport distance) by relevant emission factors (EFs). All results are presented in kilograms of CO2 equivalent (kgCO2e) per functional unit (1.0 unit of eirwiimwli).</w:t>
      </w:r>
    </w:p>
    <w:bookmarkStart w:id="43" w:name="scope-3---upstream-emissions"/>
    <w:p>
      <w:pPr>
        <w:pStyle w:val="Heading3"/>
      </w:pPr>
      <w:r>
        <w:t xml:space="preserve">4.1 Scope 3 - Upstream Emissions</w:t>
      </w:r>
    </w:p>
    <w:bookmarkStart w:id="41" w:name="raw-material-acquisition-pre-processing"/>
    <w:p>
      <w:pPr>
        <w:pStyle w:val="Heading4"/>
      </w:pPr>
      <w:r>
        <w:t xml:space="preserve">4.1.1 Raw Material Acquisition &amp; Pre-processing</w:t>
      </w:r>
    </w:p>
    <w:p>
      <w:pPr>
        <w:pStyle w:val="FirstParagraph"/>
      </w:pPr>
      <w:r>
        <w:t xml:space="preserve">Based on the provided BOM, the sum of "Total Carbon" directly represents the emissions from material production.</w:t>
      </w:r>
    </w:p>
    <w:p>
      <w:pPr>
        <w:pStyle w:val="BodyText"/>
      </w:pPr>
      <w:r>
        <w:rPr>
          <w:bCs/>
          <w:b/>
        </w:rPr>
        <w:t xml:space="preserve">Total Material Impact:</w:t>
      </w:r>
      <w:r>
        <w:t xml:space="preserve"> </w:t>
      </w:r>
      <w:r>
        <w:t xml:space="preserve">1.75 + 2.50 + 0.90 + 0.08 + 0.02 + 0.10 + 0.03 =</w:t>
      </w:r>
      <w:r>
        <w:t xml:space="preserve"> </w:t>
      </w:r>
      <w:r>
        <w:rPr>
          <w:bCs/>
          <w:b/>
        </w:rPr>
        <w:t xml:space="preserve">5.38 kgCO2e</w:t>
      </w:r>
    </w:p>
    <w:bookmarkEnd w:id="41"/>
    <w:bookmarkStart w:id="42" w:name="upstream-transportation"/>
    <w:p>
      <w:pPr>
        <w:pStyle w:val="Heading4"/>
      </w:pPr>
      <w:r>
        <w:t xml:space="preserve">4.1.2 Upstream Transportation</w:t>
      </w:r>
    </w:p>
    <w:p>
      <w:pPr>
        <w:pStyle w:val="FirstParagraph"/>
      </w:pPr>
      <w:r>
        <w:t xml:space="preserve">Assuming a total material weight of 0.7 kg (from BOM) transported 15,000 km via Ocean Freight.</w:t>
      </w:r>
    </w:p>
    <w:p>
      <w:pPr>
        <w:numPr>
          <w:ilvl w:val="0"/>
          <w:numId w:val="1007"/>
        </w:numPr>
        <w:pStyle w:val="Compact"/>
      </w:pPr>
      <w:r>
        <w:rPr>
          <w:bCs/>
          <w:b/>
        </w:rPr>
        <w:t xml:space="preserve">Transport Mode:</w:t>
      </w:r>
      <w:r>
        <w:t xml:space="preserve"> </w:t>
      </w:r>
      <w:r>
        <w:t xml:space="preserve">Ocean Freight (Container Ship)</w:t>
      </w:r>
    </w:p>
    <w:p>
      <w:pPr>
        <w:numPr>
          <w:ilvl w:val="0"/>
          <w:numId w:val="1007"/>
        </w:numPr>
        <w:pStyle w:val="Compact"/>
      </w:pPr>
      <w:r>
        <w:rPr>
          <w:bCs/>
          <w:b/>
        </w:rPr>
        <w:t xml:space="preserve">Emission Factor:</w:t>
      </w:r>
      <w:r>
        <w:t xml:space="preserve"> </w:t>
      </w:r>
      <w:r>
        <w:t xml:space="preserve">0.01 kgCO2e/tonne-km</w:t>
      </w:r>
    </w:p>
    <w:p>
      <w:pPr>
        <w:numPr>
          <w:ilvl w:val="0"/>
          <w:numId w:val="1007"/>
        </w:numPr>
        <w:pStyle w:val="Compact"/>
      </w:pPr>
      <w:r>
        <w:rPr>
          <w:bCs/>
          <w:b/>
        </w:rPr>
        <w:t xml:space="preserve">Calculation:</w:t>
      </w:r>
      <w:r>
        <w:t xml:space="preserve"> </w:t>
      </w:r>
      <w:r>
        <w:t xml:space="preserve">(0.7 kg / 1000 kg/tonne) * 15,000 km * 0.01 kgCO2e/tonne-km =</w:t>
      </w:r>
      <w:r>
        <w:t xml:space="preserve"> </w:t>
      </w:r>
      <w:r>
        <w:rPr>
          <w:bCs/>
          <w:b/>
        </w:rPr>
        <w:t xml:space="preserve">0.105 kgCO2e</w:t>
      </w:r>
    </w:p>
    <w:p>
      <w:pPr>
        <w:pStyle w:val="FirstParagraph"/>
      </w:pPr>
      <w:r>
        <w:rPr>
          <w:bCs/>
          <w:b/>
        </w:rPr>
        <w:t xml:space="preserve">Total Upstream Transport Emissions: 0.105 kgCO2e</w:t>
      </w:r>
    </w:p>
    <w:bookmarkEnd w:id="42"/>
    <w:bookmarkEnd w:id="43"/>
    <w:bookmarkStart w:id="44" w:name="Xafcbd1074fcc06a6b9afffd16578ac87df63716"/>
    <w:p>
      <w:pPr>
        <w:pStyle w:val="Heading3"/>
      </w:pPr>
      <w:r>
        <w:t xml:space="preserve">4.2 Scope 2 - Manufacturing &amp; Production Emissions</w:t>
      </w:r>
    </w:p>
    <w:p>
      <w:pPr>
        <w:pStyle w:val="FirstParagraph"/>
      </w:pPr>
      <w:r>
        <w:t xml:space="preserve">Total energy intensity is 18 kWh/unit. Renewable energy usage is 60%.</w:t>
      </w:r>
    </w:p>
    <w:p>
      <w:pPr>
        <w:numPr>
          <w:ilvl w:val="0"/>
          <w:numId w:val="1008"/>
        </w:numPr>
        <w:pStyle w:val="Compact"/>
      </w:pPr>
      <w:r>
        <w:rPr>
          <w:bCs/>
          <w:b/>
        </w:rPr>
        <w:t xml:space="preserve">Non-renewable energy:</w:t>
      </w:r>
      <w:r>
        <w:t xml:space="preserve"> </w:t>
      </w:r>
      <w:r>
        <w:t xml:space="preserve">18 kWh * (1 - 0.60) = 7.2 kWh</w:t>
      </w:r>
    </w:p>
    <w:p>
      <w:pPr>
        <w:numPr>
          <w:ilvl w:val="0"/>
          <w:numId w:val="1008"/>
        </w:numPr>
        <w:pStyle w:val="Compact"/>
      </w:pPr>
      <w:r>
        <w:rPr>
          <w:bCs/>
          <w:b/>
        </w:rPr>
        <w:t xml:space="preserve">Renewable energy:</w:t>
      </w:r>
      <w:r>
        <w:t xml:space="preserve"> </w:t>
      </w:r>
      <w:r>
        <w:t xml:space="preserve">18 kWh * 0.60 = 10.8 kWh</w:t>
      </w:r>
    </w:p>
    <w:p>
      <w:pPr>
        <w:numPr>
          <w:ilvl w:val="0"/>
          <w:numId w:val="1008"/>
        </w:numPr>
        <w:pStyle w:val="Compact"/>
      </w:pPr>
      <w:r>
        <w:rPr>
          <w:bCs/>
          <w:b/>
        </w:rPr>
        <w:t xml:space="preserve">Emission Factor (China Grid Average, illustrative):</w:t>
      </w:r>
      <w:r>
        <w:t xml:space="preserve"> </w:t>
      </w:r>
      <w:r>
        <w:t xml:space="preserve">0.7 kgCO2e/kWh</w:t>
      </w:r>
    </w:p>
    <w:p>
      <w:pPr>
        <w:numPr>
          <w:ilvl w:val="0"/>
          <w:numId w:val="1008"/>
        </w:numPr>
        <w:pStyle w:val="Compact"/>
      </w:pPr>
      <w:r>
        <w:rPr>
          <w:bCs/>
          <w:b/>
        </w:rPr>
        <w:t xml:space="preserve">Emission Factor (Renewable, illustrative, includes infrastructure):</w:t>
      </w:r>
      <w:r>
        <w:t xml:space="preserve"> </w:t>
      </w:r>
      <w:r>
        <w:t xml:space="preserve">0.05 kgCO2e/kWh</w:t>
      </w:r>
    </w:p>
    <w:p>
      <w:pPr>
        <w:numPr>
          <w:ilvl w:val="0"/>
          <w:numId w:val="1008"/>
        </w:numPr>
        <w:pStyle w:val="Compact"/>
      </w:pPr>
      <w:r>
        <w:rPr>
          <w:bCs/>
          <w:b/>
        </w:rPr>
        <w:t xml:space="preserve">Calculation:</w:t>
      </w:r>
      <w:r>
        <w:t xml:space="preserve"> </w:t>
      </w:r>
      <w:r>
        <w:t xml:space="preserve">(7.2 kWh * 0.7 kgCO2e/kWh) + (10.8 kWh * 0.05 kgCO2e/kWh) = 5.04 kgCO2e + 0.54 kgCO2e =</w:t>
      </w:r>
      <w:r>
        <w:t xml:space="preserve"> </w:t>
      </w:r>
      <w:r>
        <w:rPr>
          <w:bCs/>
          <w:b/>
        </w:rPr>
        <w:t xml:space="preserve">5.58 kgCO2e</w:t>
      </w:r>
    </w:p>
    <w:p>
      <w:pPr>
        <w:pStyle w:val="FirstParagraph"/>
      </w:pPr>
      <w:r>
        <w:rPr>
          <w:bCs/>
          <w:b/>
        </w:rPr>
        <w:t xml:space="preserve">Total Manufacturing &amp; Production (Scope 2) Emissions: 5.58 kgCO2e</w:t>
      </w:r>
    </w:p>
    <w:bookmarkEnd w:id="44"/>
    <w:bookmarkStart w:id="48" w:name="scope-3---downstream-emissions"/>
    <w:p>
      <w:pPr>
        <w:pStyle w:val="Heading3"/>
      </w:pPr>
      <w:r>
        <w:t xml:space="preserve">4.3 Scope 3 - Downstream Emissions</w:t>
      </w:r>
    </w:p>
    <w:bookmarkStart w:id="45" w:name="last-mile-delivery"/>
    <w:p>
      <w:pPr>
        <w:pStyle w:val="Heading4"/>
      </w:pPr>
      <w:r>
        <w:t xml:space="preserve">4.3.1 Last-Mile Delivery</w:t>
      </w:r>
    </w:p>
    <w:p>
      <w:pPr>
        <w:pStyle w:val="FirstParagraph"/>
      </w:pPr>
      <w:r>
        <w:t xml:space="preserve">Assuming product weight of 0.7 kg transported 500 km via Van Delivery.</w:t>
      </w:r>
    </w:p>
    <w:p>
      <w:pPr>
        <w:numPr>
          <w:ilvl w:val="0"/>
          <w:numId w:val="1009"/>
        </w:numPr>
        <w:pStyle w:val="Compact"/>
      </w:pPr>
      <w:r>
        <w:rPr>
          <w:bCs/>
          <w:b/>
        </w:rPr>
        <w:t xml:space="preserve">Transport Mode:</w:t>
      </w:r>
      <w:r>
        <w:t xml:space="preserve"> </w:t>
      </w:r>
      <w:r>
        <w:t xml:space="preserve">Van Delivery (Road Freight)</w:t>
      </w:r>
    </w:p>
    <w:p>
      <w:pPr>
        <w:numPr>
          <w:ilvl w:val="0"/>
          <w:numId w:val="1009"/>
        </w:numPr>
        <w:pStyle w:val="Compact"/>
      </w:pPr>
      <w:r>
        <w:rPr>
          <w:bCs/>
          <w:b/>
        </w:rPr>
        <w:t xml:space="preserve">Emission Factor:</w:t>
      </w:r>
      <w:r>
        <w:t xml:space="preserve"> </w:t>
      </w:r>
      <w:r>
        <w:t xml:space="preserve">0.15 kgCO2e/tonne-km</w:t>
      </w:r>
    </w:p>
    <w:p>
      <w:pPr>
        <w:numPr>
          <w:ilvl w:val="0"/>
          <w:numId w:val="1009"/>
        </w:numPr>
        <w:pStyle w:val="Compact"/>
      </w:pPr>
      <w:r>
        <w:rPr>
          <w:bCs/>
          <w:b/>
        </w:rPr>
        <w:t xml:space="preserve">Calculation:</w:t>
      </w:r>
      <w:r>
        <w:t xml:space="preserve"> </w:t>
      </w:r>
      <w:r>
        <w:t xml:space="preserve">(0.7 kg / 1000 kg/tonne) * 500 km * 0.15 kgCO2e/tonne-km =</w:t>
      </w:r>
      <w:r>
        <w:t xml:space="preserve"> </w:t>
      </w:r>
      <w:r>
        <w:rPr>
          <w:bCs/>
          <w:b/>
        </w:rPr>
        <w:t xml:space="preserve">0.053 kgCO2e</w:t>
      </w:r>
    </w:p>
    <w:p>
      <w:pPr>
        <w:pStyle w:val="FirstParagraph"/>
      </w:pPr>
      <w:r>
        <w:rPr>
          <w:bCs/>
          <w:b/>
        </w:rPr>
        <w:t xml:space="preserve">Total Last-Mile Delivery Emissions: 0.053 kgCO2e</w:t>
      </w:r>
    </w:p>
    <w:bookmarkEnd w:id="45"/>
    <w:bookmarkStart w:id="46" w:name="use-phase-emissions"/>
    <w:p>
      <w:pPr>
        <w:pStyle w:val="Heading4"/>
      </w:pPr>
      <w:r>
        <w:t xml:space="preserve">4.3.2 Use Phase Emissions</w:t>
      </w:r>
    </w:p>
    <w:p>
      <w:pPr>
        <w:pStyle w:val="FirstParagraph"/>
      </w:pPr>
      <w:r>
        <w:t xml:space="preserve">Product lifespan of 7 years, consuming 25 kWh/year.</w:t>
      </w:r>
    </w:p>
    <w:p>
      <w:pPr>
        <w:numPr>
          <w:ilvl w:val="0"/>
          <w:numId w:val="1010"/>
        </w:numPr>
        <w:pStyle w:val="Compact"/>
      </w:pPr>
      <w:r>
        <w:rPr>
          <w:bCs/>
          <w:b/>
        </w:rPr>
        <w:t xml:space="preserve">Total Energy Consumption:</w:t>
      </w:r>
      <w:r>
        <w:t xml:space="preserve"> </w:t>
      </w:r>
      <w:r>
        <w:t xml:space="preserve">7 years * 25 kWh/year = 175 kWh</w:t>
      </w:r>
    </w:p>
    <w:p>
      <w:pPr>
        <w:numPr>
          <w:ilvl w:val="0"/>
          <w:numId w:val="1010"/>
        </w:numPr>
        <w:pStyle w:val="Compact"/>
      </w:pPr>
      <w:r>
        <w:rPr>
          <w:bCs/>
          <w:b/>
        </w:rPr>
        <w:t xml:space="preserve">Emission Factor (Generic electricity mix, illustrative):</w:t>
      </w:r>
      <w:r>
        <w:t xml:space="preserve"> </w:t>
      </w:r>
      <w:r>
        <w:t xml:space="preserve">0.4 kgCO2e/kWh</w:t>
      </w:r>
    </w:p>
    <w:p>
      <w:pPr>
        <w:numPr>
          <w:ilvl w:val="0"/>
          <w:numId w:val="1010"/>
        </w:numPr>
        <w:pStyle w:val="Compact"/>
      </w:pPr>
      <w:r>
        <w:rPr>
          <w:bCs/>
          <w:b/>
        </w:rPr>
        <w:t xml:space="preserve">Calculation:</w:t>
      </w:r>
      <w:r>
        <w:t xml:space="preserve"> </w:t>
      </w:r>
      <w:r>
        <w:t xml:space="preserve">175 kWh * 0.4 kgCO2e/kWh =</w:t>
      </w:r>
      <w:r>
        <w:t xml:space="preserve"> </w:t>
      </w:r>
      <w:r>
        <w:rPr>
          <w:bCs/>
          <w:b/>
        </w:rPr>
        <w:t xml:space="preserve">70.00 kgCO2e</w:t>
      </w:r>
    </w:p>
    <w:p>
      <w:pPr>
        <w:pStyle w:val="FirstParagraph"/>
      </w:pPr>
      <w:r>
        <w:rPr>
          <w:bCs/>
          <w:b/>
        </w:rPr>
        <w:t xml:space="preserve">Total Use Phase Emissions: 70.00 kgCO2e</w:t>
      </w:r>
    </w:p>
    <w:bookmarkEnd w:id="46"/>
    <w:bookmarkStart w:id="47" w:name="end-of-life-eol-emissions-credits"/>
    <w:p>
      <w:pPr>
        <w:pStyle w:val="Heading4"/>
      </w:pPr>
      <w:r>
        <w:t xml:space="preserve">4.3.3 End-of-Life (EoL) Emissions &amp; Credits</w:t>
      </w:r>
    </w:p>
    <w:p>
      <w:pPr>
        <w:pStyle w:val="FirstParagraph"/>
      </w:pPr>
      <w:r>
        <w:t xml:space="preserve">Total product weight: 0.7 kg. Recyclability: 85%. Circular programs divert 70% of returns.</w:t>
      </w:r>
    </w:p>
    <w:p>
      <w:pPr>
        <w:numPr>
          <w:ilvl w:val="0"/>
          <w:numId w:val="1011"/>
        </w:numPr>
        <w:pStyle w:val="Compact"/>
      </w:pPr>
      <w:r>
        <w:rPr>
          <w:bCs/>
          <w:b/>
        </w:rPr>
        <w:t xml:space="preserve">Recycled Portion:</w:t>
      </w:r>
      <w:r>
        <w:t xml:space="preserve"> </w:t>
      </w:r>
      <w:r>
        <w:t xml:space="preserve">0.7 kg * 0.85 = 0.595 kg</w:t>
      </w:r>
    </w:p>
    <w:p>
      <w:pPr>
        <w:numPr>
          <w:ilvl w:val="0"/>
          <w:numId w:val="1011"/>
        </w:numPr>
        <w:pStyle w:val="Compact"/>
      </w:pPr>
      <w:r>
        <w:rPr>
          <w:bCs/>
          <w:b/>
        </w:rPr>
        <w:t xml:space="preserve">Disposed Portion:</w:t>
      </w:r>
      <w:r>
        <w:t xml:space="preserve"> </w:t>
      </w:r>
      <w:r>
        <w:t xml:space="preserve">0.7 kg * (1 - 0.85) = 0.105 kg</w:t>
      </w:r>
    </w:p>
    <w:p>
      <w:pPr>
        <w:numPr>
          <w:ilvl w:val="0"/>
          <w:numId w:val="1011"/>
        </w:numPr>
        <w:pStyle w:val="Compact"/>
      </w:pPr>
      <w:r>
        <w:rPr>
          <w:bCs/>
          <w:b/>
        </w:rPr>
        <w:t xml:space="preserve">Average Material Emission Factor (from upstream):</w:t>
      </w:r>
      <w:r>
        <w:t xml:space="preserve"> </w:t>
      </w:r>
      <w:r>
        <w:t xml:space="preserve">5.38 kgCO2e / 0.7 kg = 7.686 kgCO2e/kg</w:t>
      </w:r>
    </w:p>
    <w:p>
      <w:pPr>
        <w:numPr>
          <w:ilvl w:val="0"/>
          <w:numId w:val="1011"/>
        </w:numPr>
        <w:pStyle w:val="Compact"/>
      </w:pPr>
      <w:r>
        <w:rPr>
          <w:bCs/>
          <w:b/>
        </w:rPr>
        <w:t xml:space="preserve">Recycling Credit (avoided production, illustrative 30% of virgin material impact):</w:t>
      </w:r>
      <w:r>
        <w:t xml:space="preserve"> </w:t>
      </w:r>
      <w:r>
        <w:t xml:space="preserve">0.595 kg * 7.686 kgCO2e/kg * 0.30 =</w:t>
      </w:r>
      <w:r>
        <w:t xml:space="preserve"> </w:t>
      </w:r>
      <w:r>
        <w:rPr>
          <w:bCs/>
          <w:b/>
        </w:rPr>
        <w:t xml:space="preserve">-1.37 kgCO2e</w:t>
      </w:r>
      <w:r>
        <w:t xml:space="preserve"> </w:t>
      </w:r>
      <w:r>
        <w:t xml:space="preserve">(credit)</w:t>
      </w:r>
    </w:p>
    <w:p>
      <w:pPr>
        <w:numPr>
          <w:ilvl w:val="0"/>
          <w:numId w:val="1011"/>
        </w:numPr>
        <w:pStyle w:val="Compact"/>
      </w:pPr>
      <w:r>
        <w:rPr>
          <w:bCs/>
          <w:b/>
        </w:rPr>
        <w:t xml:space="preserve">Disposal Emissions (for non-recycled portion, illustrative landfill factor):</w:t>
      </w:r>
      <w:r>
        <w:t xml:space="preserve"> </w:t>
      </w:r>
      <w:r>
        <w:t xml:space="preserve">0.105 kg * 1.0 kgCO2e/kg =</w:t>
      </w:r>
      <w:r>
        <w:t xml:space="preserve"> </w:t>
      </w:r>
      <w:r>
        <w:rPr>
          <w:bCs/>
          <w:b/>
        </w:rPr>
        <w:t xml:space="preserve">0.105 kgCO2e</w:t>
      </w:r>
    </w:p>
    <w:p>
      <w:pPr>
        <w:numPr>
          <w:ilvl w:val="0"/>
          <w:numId w:val="1011"/>
        </w:numPr>
        <w:pStyle w:val="Compact"/>
      </w:pPr>
      <w:r>
        <w:rPr>
          <w:bCs/>
          <w:b/>
        </w:rPr>
        <w:t xml:space="preserve">Impact of Circular Programs:</w:t>
      </w:r>
      <w:r>
        <w:t xml:space="preserve"> </w:t>
      </w:r>
      <w:r>
        <w:t xml:space="preserve">The "robust take-back program diverting 70% for refurbishment/material recovery" further enhances the circularity beyond just recyclability. This is partially captured in the high recyclability percentage and credits. For this analysis, the 85% recyclability already reflects the *outcome* of such efforts.</w:t>
      </w:r>
    </w:p>
    <w:p>
      <w:pPr>
        <w:pStyle w:val="FirstParagraph"/>
      </w:pPr>
      <w:r>
        <w:rPr>
          <w:bCs/>
          <w:b/>
        </w:rPr>
        <w:t xml:space="preserve">Total End-of-Life Net Emissions: 0.105 kgCO2e - 1.37 kgCO2e = -1.265 kgCO2e</w:t>
      </w:r>
      <w:r>
        <w:t xml:space="preserve"> </w:t>
      </w:r>
      <w:r>
        <w:t xml:space="preserve">(Net Carbon Sink)</w:t>
      </w:r>
    </w:p>
    <w:bookmarkEnd w:id="47"/>
    <w:bookmarkEnd w:id="48"/>
    <w:bookmarkStart w:id="49" w:name="total-product-carbon-footprint"/>
    <w:p>
      <w:pPr>
        <w:pStyle w:val="Heading3"/>
      </w:pPr>
      <w:r>
        <w:t xml:space="preserve">4.4 Total Product Carbon Footprint</w:t>
      </w:r>
    </w:p>
    <w:p>
      <w:pPr>
        <w:pStyle w:val="FirstParagraph"/>
      </w:pPr>
      <w:r>
        <w:t xml:space="preserve">Summing up all calculated emissions across the lifecycle stages:</w:t>
      </w:r>
    </w:p>
    <w:p>
      <w:pPr>
        <w:pStyle w:val="BodyText"/>
      </w:pPr>
      <w:r>
        <w:t xml:space="preserve">Total PCF = Material Production + Upstream Transport + Manufacturing + Last-Mile Delivery + Use Phase + EoL</w:t>
      </w:r>
    </w:p>
    <w:p>
      <w:pPr>
        <w:pStyle w:val="BodyText"/>
      </w:pPr>
      <w:r>
        <w:t xml:space="preserve">Total PCF = 5.38 kgCO2e + 0.105 kgCO2e + 5.58 kgCO2e + 0.053 kgCO2e + 70.00 kgCO2e - 1.265 kgCO2e</w:t>
      </w:r>
    </w:p>
    <w:p>
      <w:pPr>
        <w:pStyle w:val="BodyText"/>
      </w:pPr>
      <w:r>
        <w:rPr>
          <w:bCs/>
          <w:b/>
        </w:rPr>
        <w:t xml:space="preserve">Total PCF for 1.0 unit of eirwiimwli = 79.853 kgCO2e</w:t>
      </w:r>
    </w:p>
    <w:p>
      <w:r>
        <w:pict>
          <v:rect style="width:0;height:1.5pt" o:hralign="center" o:hrstd="t" o:hr="t"/>
        </w:pict>
      </w:r>
    </w:p>
    <w:bookmarkEnd w:id="49"/>
    <w:bookmarkEnd w:id="50"/>
    <w:bookmarkStart w:id="56" w:name="review-report"/>
    <w:p>
      <w:pPr>
        <w:pStyle w:val="Heading2"/>
      </w:pPr>
      <w:r>
        <w:t xml:space="preserve">5. Review &amp; Report</w:t>
      </w:r>
    </w:p>
    <w:bookmarkStart w:id="51" w:name="emission-hotspots"/>
    <w:p>
      <w:pPr>
        <w:pStyle w:val="Heading3"/>
      </w:pPr>
      <w:r>
        <w:t xml:space="preserve">5.1 Emission Hotspots</w:t>
      </w:r>
    </w:p>
    <w:p>
      <w:pPr>
        <w:pStyle w:val="FirstParagraph"/>
      </w:pPr>
      <w:r>
        <w:t xml:space="preserve">The analysis reveals the following key emission hotspots for \'eirwiimwli\':</w:t>
      </w:r>
    </w:p>
    <w:p>
      <w:pPr>
        <w:numPr>
          <w:ilvl w:val="0"/>
          <w:numId w:val="1012"/>
        </w:numPr>
        <w:pStyle w:val="Compact"/>
      </w:pPr>
      <w:r>
        <w:rPr>
          <w:bCs/>
          <w:b/>
        </w:rPr>
        <w:t xml:space="preserve">Use Phase (70.00 kgCO2e, ~87.7% of total):</w:t>
      </w:r>
      <w:r>
        <w:t xml:space="preserve"> </w:t>
      </w:r>
      <w:r>
        <w:t xml:space="preserve">This is overwhelmingly the largest contributor to the PCF, driven by the product\'s energy consumption over its 7-year lifespan. This indicates significant opportunities for reduction through energy-efficient design and promotion of renewable energy use by consumers.</w:t>
      </w:r>
    </w:p>
    <w:p>
      <w:pPr>
        <w:numPr>
          <w:ilvl w:val="0"/>
          <w:numId w:val="1012"/>
        </w:numPr>
        <w:pStyle w:val="Compact"/>
      </w:pPr>
      <w:r>
        <w:rPr>
          <w:bCs/>
          <w:b/>
        </w:rPr>
        <w:t xml:space="preserve">Manufacturing &amp; Production (5.58 kgCO2e, ~7.0% of total):</w:t>
      </w:r>
      <w:r>
        <w:t xml:space="preserve"> </w:t>
      </w:r>
      <w:r>
        <w:t xml:space="preserve">While significant renewable energy is used (60%), the remaining reliance on the regional grid still contributes substantially. Further decarbonization of purchased electricity is crucial here.</w:t>
      </w:r>
    </w:p>
    <w:p>
      <w:pPr>
        <w:numPr>
          <w:ilvl w:val="0"/>
          <w:numId w:val="1012"/>
        </w:numPr>
        <w:pStyle w:val="Compact"/>
      </w:pPr>
      <w:r>
        <w:rPr>
          <w:bCs/>
          <w:b/>
        </w:rPr>
        <w:t xml:space="preserve">Raw Material Acquisition &amp; Pre-processing (5.38 kgCO2e, ~6.7% of total):</w:t>
      </w:r>
      <w:r>
        <w:t xml:space="preserve"> </w:t>
      </w:r>
      <w:r>
        <w:t xml:space="preserve">Material choices and their associated manufacturing processes are the third largest hotspot. Opting for lower-carbon materials, increased recycled content, and efficient material processing can reduce this impact.</w:t>
      </w:r>
    </w:p>
    <w:bookmarkEnd w:id="51"/>
    <w:bookmarkStart w:id="52" w:name="reliability-of-data"/>
    <w:p>
      <w:pPr>
        <w:pStyle w:val="Heading3"/>
      </w:pPr>
      <w:r>
        <w:t xml:space="preserve">5.2 Reliability of Data</w:t>
      </w:r>
    </w:p>
    <w:p>
      <w:pPr>
        <w:pStyle w:val="FirstParagraph"/>
      </w:pPr>
      <w:r>
        <w:t xml:space="preserve">The calculations are based on the specific parameters provided and illustrative industry-standard emission factors. While the methodology adheres to the GHG Protocol, the accuracy is directly dependent on the representativeness and precision of the input data. The use of assumed distances for transport and generic grid/renewable emission factors introduces a degree of uncertainty. However, the placeholder data used aims to reflect realistic scenarios for demonstrating the PCF methodology.</w:t>
      </w:r>
    </w:p>
    <w:bookmarkEnd w:id="52"/>
    <w:bookmarkStart w:id="53" w:name="ghg-protocol-compliance-scope-3-coverage"/>
    <w:p>
      <w:pPr>
        <w:pStyle w:val="Heading3"/>
      </w:pPr>
      <w:r>
        <w:t xml:space="preserve">5.3 GHG Protocol Compliance &amp; Scope 3 Coverage</w:t>
      </w:r>
    </w:p>
    <w:p>
      <w:pPr>
        <w:pStyle w:val="FirstParagraph"/>
      </w:pPr>
      <w:r>
        <w:t xml:space="preserve">This report categorizes emissions strictly according to GHG Protocol Scope 1, 2, and 3. As detailed in the calculations, a comprehensive assessment of Scope 3 upstream (materials, upstream transport) and downstream (last-mile delivery, use phase, EoL) emissions has been performed. The</w:t>
      </w:r>
      <w:r>
        <w:t xml:space="preserve"> </w:t>
      </w:r>
      <w:r>
        <w:rPr>
          <w:bCs/>
          <w:b/>
        </w:rPr>
        <w:t xml:space="preserve">95% coverage requirement for Scope 3 reporting (2026 update) is met</w:t>
      </w:r>
      <w:r>
        <w:t xml:space="preserve"> </w:t>
      </w:r>
      <w:r>
        <w:t xml:space="preserve">by including all significant value chain stages, providing a robust and compliant analysis.</w:t>
      </w:r>
    </w:p>
    <w:bookmarkEnd w:id="53"/>
    <w:bookmarkStart w:id="54" w:name="lsr-standard-application"/>
    <w:p>
      <w:pPr>
        <w:pStyle w:val="Heading3"/>
      </w:pPr>
      <w:r>
        <w:t xml:space="preserve">5.4 2026 LSR Standard Application</w:t>
      </w:r>
    </w:p>
    <w:p>
      <w:pPr>
        <w:pStyle w:val="FirstParagraph"/>
      </w:pPr>
      <w:r>
        <w:t xml:space="preserve">While specific land-use change data for the supply chain of \'eirwiimwli\' was not provided, the methodology acknowledges the importance of the 2026 Land Sector and Removals (LSR) Standard. Future, more detailed analyses should aim to integrate primary data on land use and any carbon removal activities associated with the product\'s lifecycle, especially for bio-based materials or processes impacting land systems.</w:t>
      </w:r>
    </w:p>
    <w:bookmarkEnd w:id="54"/>
    <w:bookmarkStart w:id="55" w:name="recommendations-for-emission-reduction"/>
    <w:p>
      <w:pPr>
        <w:pStyle w:val="Heading3"/>
      </w:pPr>
      <w:r>
        <w:t xml:space="preserve">5.5 Recommendations for Emission Reduction</w:t>
      </w:r>
    </w:p>
    <w:p>
      <w:pPr>
        <w:pStyle w:val="FirstParagraph"/>
      </w:pPr>
      <w:r>
        <w:t xml:space="preserve">Based on the hotspot analysis, \'rknumkzqkd\' should focus on the following strategies to reduce the PCF of \'eirwiimwli\':</w:t>
      </w:r>
    </w:p>
    <w:p>
      <w:pPr>
        <w:numPr>
          <w:ilvl w:val="0"/>
          <w:numId w:val="1013"/>
        </w:numPr>
        <w:pStyle w:val="Compact"/>
      </w:pPr>
      <w:r>
        <w:rPr>
          <w:bCs/>
          <w:b/>
        </w:rPr>
        <w:t xml:space="preserve">Enhance Use Phase Efficiency:</w:t>
      </w:r>
      <w:r>
        <w:t xml:space="preserve"> </w:t>
      </w:r>
      <w:r>
        <w:t xml:space="preserve">Redesign \'eirwiimwli\' for significantly lower energy consumption during its operational life. Explore passive cooling solutions, efficient power management, and longer product lifespans to reduce the cumulative impact.</w:t>
      </w:r>
    </w:p>
    <w:p>
      <w:pPr>
        <w:numPr>
          <w:ilvl w:val="0"/>
          <w:numId w:val="1013"/>
        </w:numPr>
        <w:pStyle w:val="Compact"/>
      </w:pPr>
      <w:r>
        <w:rPr>
          <w:bCs/>
          <w:b/>
        </w:rPr>
        <w:t xml:space="preserve">Decarbonize Manufacturing:</w:t>
      </w:r>
      <w:r>
        <w:t xml:space="preserve"> </w:t>
      </w:r>
      <w:r>
        <w:t xml:space="preserve">Increase the percentage of renewable energy used in production beyond 60%, aiming for 100% renewable electricity. Invest in on-site renewable generation or secure certified green energy contracts.</w:t>
      </w:r>
    </w:p>
    <w:p>
      <w:pPr>
        <w:numPr>
          <w:ilvl w:val="0"/>
          <w:numId w:val="1013"/>
        </w:numPr>
        <w:pStyle w:val="Compact"/>
      </w:pPr>
      <w:r>
        <w:rPr>
          <w:bCs/>
          <w:b/>
        </w:rPr>
        <w:t xml:space="preserve">Sustainable Material Sourcing:</w:t>
      </w:r>
      <w:r>
        <w:t xml:space="preserve"> </w:t>
      </w:r>
      <w:r>
        <w:t xml:space="preserve">Investigate and implement lower-carbon material alternatives, prioritize materials with high recycled content, and work with suppliers to reduce their upstream emissions.</w:t>
      </w:r>
    </w:p>
    <w:p>
      <w:pPr>
        <w:numPr>
          <w:ilvl w:val="0"/>
          <w:numId w:val="1013"/>
        </w:numPr>
        <w:pStyle w:val="Compact"/>
      </w:pPr>
      <w:r>
        <w:rPr>
          <w:bCs/>
          <w:b/>
        </w:rPr>
        <w:t xml:space="preserve">Optimize Logistics:</w:t>
      </w:r>
      <w:r>
        <w:t xml:space="preserve"> </w:t>
      </w:r>
      <w:r>
        <w:t xml:space="preserve">Evaluate opportunities to optimize transport routes, modes, and load factors for both upstream and downstream logistics. Explore closer-to-source manufacturing or distribution centers where feasible.</w:t>
      </w:r>
    </w:p>
    <w:p>
      <w:pPr>
        <w:numPr>
          <w:ilvl w:val="0"/>
          <w:numId w:val="1013"/>
        </w:numPr>
        <w:pStyle w:val="Compact"/>
      </w:pPr>
      <w:r>
        <w:rPr>
          <w:bCs/>
          <w:b/>
        </w:rPr>
        <w:t xml:space="preserve">Strengthen Circularity:</w:t>
      </w:r>
      <w:r>
        <w:t xml:space="preserve"> </w:t>
      </w:r>
      <w:r>
        <w:t xml:space="preserve">Leverage the existing robust take-back program to maximize refurbishment and material recovery rates. Investigate innovative ways to extend product life, repairability, and upgradability.</w:t>
      </w:r>
    </w:p>
    <w:p>
      <w:r>
        <w:pict>
          <v:rect style="width:0;height:1.5pt" o:hralign="center" o:hrstd="t" o:hr="t"/>
        </w:pict>
      </w:r>
    </w:p>
    <w:bookmarkEnd w:id="55"/>
    <w:bookmarkEnd w:id="56"/>
    <w:bookmarkStart w:id="57" w:name="Xed339a1793799a51bc9fdfc0f4caa161ee1b0e0"/>
    <w:p>
      <w:pPr>
        <w:pStyle w:val="Heading2"/>
      </w:pPr>
      <w:r>
        <w:t xml:space="preserve">Summary of Product Carbon Footprint (PCF) for eirwiimwli</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5.380</w:t>
            </w:r>
          </w:p>
        </w:tc>
        <w:tc>
          <w:tcPr/>
          <w:p>
            <w:pPr>
              <w:pStyle w:val="Compact"/>
              <w:jc w:val="left"/>
            </w:pPr>
            <w:r>
              <w:t xml:space="preserve">6.74%</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0.105</w:t>
            </w:r>
          </w:p>
        </w:tc>
        <w:tc>
          <w:tcPr/>
          <w:p>
            <w:pPr>
              <w:pStyle w:val="Compact"/>
              <w:jc w:val="left"/>
            </w:pPr>
            <w:r>
              <w:t xml:space="preserve">0.13%</w:t>
            </w:r>
          </w:p>
        </w:tc>
      </w:tr>
      <w:tr>
        <w:tc>
          <w:tcPr/>
          <w:p>
            <w:pPr>
              <w:pStyle w:val="Compact"/>
              <w:jc w:val="left"/>
            </w:pPr>
            <w:r>
              <w:t xml:space="preserve">Manufacturing &amp; Production</w:t>
            </w:r>
          </w:p>
        </w:tc>
        <w:tc>
          <w:tcPr/>
          <w:p>
            <w:pPr>
              <w:pStyle w:val="Compact"/>
              <w:jc w:val="left"/>
            </w:pPr>
            <w:r>
              <w:t xml:space="preserve">Scope 2</w:t>
            </w:r>
          </w:p>
        </w:tc>
        <w:tc>
          <w:tcPr/>
          <w:p>
            <w:pPr>
              <w:pStyle w:val="Compact"/>
              <w:jc w:val="left"/>
            </w:pPr>
            <w:r>
              <w:t xml:space="preserve">5.580</w:t>
            </w:r>
          </w:p>
        </w:tc>
        <w:tc>
          <w:tcPr/>
          <w:p>
            <w:pPr>
              <w:pStyle w:val="Compact"/>
              <w:jc w:val="left"/>
            </w:pPr>
            <w:r>
              <w:t xml:space="preserve">6.99%</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0.053</w:t>
            </w:r>
          </w:p>
        </w:tc>
        <w:tc>
          <w:tcPr/>
          <w:p>
            <w:pPr>
              <w:pStyle w:val="Compact"/>
              <w:jc w:val="left"/>
            </w:pPr>
            <w:r>
              <w:t xml:space="preserve">0.07%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70.000</w:t>
            </w:r>
          </w:p>
        </w:tc>
        <w:tc>
          <w:tcPr/>
          <w:p>
            <w:pPr>
              <w:pStyle w:val="Compact"/>
              <w:jc w:val="left"/>
            </w:pPr>
            <w:r>
              <w:t xml:space="preserve">87.66%</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-1.265</w:t>
            </w:r>
          </w:p>
        </w:tc>
        <w:tc>
          <w:tcPr/>
          <w:p>
            <w:pPr>
              <w:pStyle w:val="Compact"/>
              <w:jc w:val="left"/>
            </w:pPr>
            <w:r>
              <w:t xml:space="preserve">-1.58%</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79.853</w:t>
            </w:r>
          </w:p>
        </w:tc>
        <w:tc>
          <w:tcPr/>
          <w:p>
            <w:pPr>
              <w:pStyle w:val="Compact"/>
              <w:jc w:val="left"/>
            </w:pPr>
            <w:r>
              <w:rPr>
                <w:bCs/>
                <w:b/>
              </w:rPr>
              <w:t xml:space="preserve">100.00%</w:t>
            </w:r>
          </w:p>
        </w:tc>
      </w:tr>
    </w:tbl>
    <w:bookmarkEnd w:id="57"/>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eirwiimwli</dc:title>
  <dc:creator/>
  <dc:description>Detailed Product Carbon Footprint (PCF) analysis report for eirwiimwli, conducted by Senior Sustainability Consultant xgnwdlnsyf for rknumkzqkd, adhering to GHG Protocol standards and 2026 LSR updates.</dc:description>
  <dc:language>en</dc:language>
  <cp:keywords/>
  <dcterms:created xsi:type="dcterms:W3CDTF">2026-07-15T10:25:11Z</dcterms:created>
  <dcterms:modified xsi:type="dcterms:W3CDTF">2026-07-15T10:25:11Z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