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eimdrnnotg</w:t>
      </w:r>
      <w:r>
        <w:t xml:space="preserve"> </w:t>
      </w:r>
      <w:r>
        <w:t xml:space="preserve">-</w:t>
      </w:r>
      <w:r>
        <w:t xml:space="preserve"> </w:t>
      </w:r>
      <w:r>
        <w:t xml:space="preserve">klrsntpowo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eimdrnnotg**</w:t>
      </w:r>
    </w:p>
    <w:p>
      <w:pPr>
        <w:pStyle w:val="BodyText"/>
      </w:pPr>
      <w:r>
        <w:t xml:space="preserve">**Company Name:** klrsntpowo</w:t>
      </w:r>
    </w:p>
    <w:p>
      <w:pPr>
        <w:pStyle w:val="BodyText"/>
      </w:pPr>
      <w:r>
        <w:t xml:space="preserve">**Accounting Standard:** GHG Protocol</w:t>
      </w:r>
    </w:p>
    <w:p>
      <w:pPr>
        <w:pStyle w:val="BodyText"/>
      </w:pPr>
      <w:r>
        <w:t xml:space="preserve">**Senior Sustainability Consultant:** lutvjvjlmf</w:t>
      </w:r>
    </w:p>
    <w:p>
      <w:pPr>
        <w:pStyle w:val="BodyText"/>
      </w:pPr>
      <w:r>
        <w:t xml:space="preserve">This report is generated based on available data and industry standards. While every effort has been made to ensure accuracy, the actual environmental impact may vary depending on real-world conditions and further granular data availability.</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eimdrnnotg</w:t>
      </w:r>
    </w:p>
    <w:p>
      <w:pPr>
        <w:pStyle w:val="BodyText"/>
      </w:pPr>
      <w:r>
        <w:rPr>
          <w:bCs/>
          <w:b/>
        </w:rPr>
        <w:t xml:space="preserve">Company:</w:t>
      </w:r>
      <w:r>
        <w:t xml:space="preserve"> </w:t>
      </w:r>
      <w:r>
        <w:t xml:space="preserve">klrsntpowo</w:t>
      </w:r>
    </w:p>
    <w:p>
      <w:pPr>
        <w:pStyle w:val="BodyText"/>
      </w:pPr>
      <w:r>
        <w:rPr>
          <w:bCs/>
          <w:b/>
        </w:rPr>
        <w:t xml:space="preserve">Senior Sustainability Consultant:</w:t>
      </w:r>
      <w:r>
        <w:t xml:space="preserve"> </w:t>
      </w:r>
      <w:r>
        <w:t xml:space="preserve">lutvjvjlmf</w:t>
      </w:r>
    </w:p>
    <w:p>
      <w:pPr>
        <w:pStyle w:val="BodyText"/>
      </w:pPr>
      <w:r>
        <w:rPr>
          <w:bCs/>
          <w:b/>
        </w:rPr>
        <w:t xml:space="preserve">Generated Date:</w:t>
      </w:r>
      <w:r>
        <w:t xml:space="preserve"> </w:t>
      </w:r>
      <w:r>
        <w:t xml:space="preserve">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"eimdrnnotg" manufactured by "klrsntpowo," conducted by Senior Sustainability Consultant lutvjvjlmf. The analysis adheres to the GHG Protocol accounting standard, incorporating the 2026 Land Sector and Removals (LSR) Standard where applicable, and ensures at least 95% coverage for Scope 3 emissions. The total estimated Product Carbon Footprint for one functional unit of "eimdrnnotg" is **16.53 kg CO2e**, with the Use Phase contributing the largest share of emissions.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analysis is defined as **1.0 unit of eimdrnnotg**.</w:t>
      </w:r>
    </w:p>
    <w:bookmarkEnd w:id="23"/>
    <w:bookmarkStart w:id="24" w:name="system-boundary"/>
    <w:p>
      <w:pPr>
        <w:pStyle w:val="Heading3"/>
      </w:pPr>
      <w:r>
        <w:t xml:space="preserve">1.2 System Boundary</w:t>
      </w:r>
    </w:p>
    <w:p>
      <w:pPr>
        <w:pStyle w:val="FirstParagraph"/>
      </w:pPr>
      <w:r>
        <w:t xml:space="preserve">The system boundary for this PCF analysis is **factory_gate**. This means the analysis includes all upstream processes up to the point where the finished product leaves the factory. Downstream stages such as product use and end-of-life are included as per GHG Protocol Scope 3 requirements, even if they occur after the "factory gate" in the product lifecycle.</w:t>
      </w:r>
    </w:p>
    <w:bookmarkEnd w:id="24"/>
    <w:bookmarkStart w:id="25"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numPr>
          <w:ilvl w:val="0"/>
          <w:numId w:val="1001"/>
        </w:numPr>
        <w:pStyle w:val="Compact"/>
      </w:pPr>
      <w:r>
        <w:t xml:space="preserve">**Use Phase:** Assumed global average electricity mix for energy consumption.</w:t>
      </w:r>
    </w:p>
    <w:bookmarkEnd w:id="25"/>
    <w:bookmarkStart w:id="26" w:name="accounting-standard"/>
    <w:p>
      <w:pPr>
        <w:pStyle w:val="Heading3"/>
      </w:pPr>
      <w:r>
        <w:t xml:space="preserve">1.4 Accounting Standard</w:t>
      </w:r>
    </w:p>
    <w:p>
      <w:pPr>
        <w:pStyle w:val="FirstParagraph"/>
      </w:pPr>
      <w:r>
        <w:t xml:space="preserve">This PCF analysis is conducted in strict accordance with the **GHG Protocol Product Standard**. Emissions are categorized into Scope 1 (direct emissions from owned or controlled sources), Scope 2 (indirect emissions from the generation of purchased energy), and Scope 3 (all other indirect emissions that occur in a company\'s value chain, both upstream and downstream).</w:t>
      </w:r>
    </w:p>
    <w:bookmarkEnd w:id="26"/>
    <w:bookmarkStart w:id="27" w:name="allocation"/>
    <w:p>
      <w:pPr>
        <w:pStyle w:val="Heading3"/>
      </w:pPr>
      <w:r>
        <w:t xml:space="preserve">1.5 Allocation</w:t>
      </w:r>
    </w:p>
    <w:p>
      <w:pPr>
        <w:pStyle w:val="FirstParagraph"/>
      </w:pPr>
      <w:r>
        <w:t xml:space="preserve">Allocation of emissions has been performed based on mass for material inputs and direct attribution for energy consumption and transport related to the functional unit. For end-of-life scenarios, a recyclability percentage is applied, and avoided burden (credit) approach is used for recycled materials to reflect circular economy impacts.</w:t>
      </w:r>
    </w:p>
    <w:p>
      <w:r>
        <w:pict>
          <v:rect style="width:0;height:1.5pt" o:hralign="center" o:hrstd="t" o:hr="t"/>
        </w:pict>
      </w:r>
    </w:p>
    <w:bookmarkEnd w:id="27"/>
    <w:bookmarkEnd w:id="28"/>
    <w:bookmarkStart w:id="35" w:name="X3e46329a61170a5902be59bf4e1a8cabf6c7cb6"/>
    <w:p>
      <w:pPr>
        <w:pStyle w:val="Heading2"/>
      </w:pPr>
      <w:r>
        <w:t xml:space="preserve">2. &amp; 3. Map Lifecycle (LCI Inventory Stages) &amp; Collect Data</w:t>
      </w:r>
    </w:p>
    <w:p>
      <w:pPr>
        <w:pStyle w:val="FirstParagraph"/>
      </w:pPr>
      <w:r>
        <w:t xml:space="preserve">The lifecycle of the eimdrnnotg product encompasses material acquisition, manufacturing, transport, use, and end-of-life. Data for each stage has been collected or estimated using industry-standard emission factors.</w:t>
      </w:r>
    </w:p>
    <w:bookmarkStart w:id="30" w:name="Xd6809f55d79238d13d9ec377fbdae683f2ba1fa"/>
    <w:p>
      <w:pPr>
        <w:pStyle w:val="Heading3"/>
      </w:pPr>
      <w:r>
        <w:t xml:space="preserve">2.1 Material Acquisition &amp; Manufacturing (Scope 3, Category 1 - Purchased goods and services)</w:t>
      </w:r>
    </w:p>
    <w:p>
      <w:pPr>
        <w:pStyle w:val="FirstParagraph"/>
      </w:pPr>
      <w:r>
        <w:t xml:space="preserve">The Detailed Bill of Materials (BOM) for eimdrnnotg, provided as "rewennwq", is crucial for high-accuracy material impact calculation. The BOM details are used directly to calculate the emissions associated with raw material extraction, processing, and manufacturing before assembly.</w:t>
      </w:r>
    </w:p>
    <w:bookmarkStart w:id="29" w:name="detailed-bill-of-materials-bom-breakdown"/>
    <w:p>
      <w:pPr>
        <w:pStyle w:val="Heading4"/>
      </w:pPr>
      <w:r>
        <w:t xml:space="preserve">Detailed Bill of Materials (BOM) Breakdown</w:t>
      </w:r>
    </w:p>
    <w:p>
      <w:pPr>
        <w:pStyle w:val="FirstParagraph"/>
      </w:pPr>
      <w:r>
        <w:t xml:space="preserve">The provided BOM data is as follows:</w:t>
      </w:r>
    </w:p>
    <w:p>
      <w:pPr>
        <w:pStyle w:val="SourceCode"/>
      </w:pPr>
      <w:r>
        <w:rPr>
          <w:rStyle w:val="VerbatimChar"/>
        </w:rPr>
        <w:t xml:space="preserve">1,Plastic Casing,Plastic,Injection Molding,0.8,kg,2.5,2.0;2,Circuit Board,Electronics,Assembly,0.1,kg,15.0,1.5;3,Copper Wire,Metal,Drawing,0.05,kg,4.0,0.2;4,Packaging (Cardboard),Paper/Cardboard,Manufacturing,0.2,kg,1.2,0.24</w:t>
      </w:r>
    </w:p>
    <w:p>
      <w:pPr>
        <w:pStyle w:val="FirstParagraph"/>
      </w:pPr>
      <w:r>
        <w:t xml:space="preserve">Based on this data, the following material impacts are calculated:</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1.2</w:t>
            </w:r>
          </w:p>
        </w:tc>
        <w:tc>
          <w:tcPr/>
          <w:p>
            <w:pPr>
              <w:pStyle w:val="Compact"/>
              <w:jc w:val="left"/>
            </w:pPr>
            <w:r>
              <w:t xml:space="preserve">0.24</w:t>
            </w:r>
          </w:p>
        </w:tc>
      </w:tr>
      <w:tr>
        <w:tc>
          <w:tcPr>
            <w:gridSpan w:val="6"/>
          </w:tcPr>
          <w:p>
            <w:pPr>
              <w:pStyle w:val="Compact"/>
              <w:jc w:val="right"/>
            </w:pPr>
            <w:r>
              <w:t xml:space="preserve">**Total Material Carbon Impact:**</w:t>
            </w:r>
          </w:p>
        </w:tc>
        <w:tc>
          <w:tcPr/>
          <w:p>
            <w:pPr>
              <w:pStyle w:val="Compact"/>
              <w:jc w:val="left"/>
            </w:pPr>
            <w:r>
              <w:t xml:space="preserve">**3.94**</w:t>
            </w:r>
          </w:p>
        </w:tc>
      </w:tr>
    </w:tbl>
    <w:p>
      <w:pPr>
        <w:pStyle w:val="BodyText"/>
      </w:pPr>
      <w:r>
        <w:rPr>
          <w:iCs/>
          <w:i/>
        </w:rPr>
        <w:t xml:space="preserve">Note: The "Total Carbon" value from the BOM is used directly, as specified, and assumed to be the pre-calculated emission for each item.</w:t>
      </w:r>
    </w:p>
    <w:bookmarkEnd w:id="29"/>
    <w:bookmarkEnd w:id="30"/>
    <w:bookmarkStart w:id="31" w:name="Xef05e4511ad01d3908f681dbb06ba24b58f1b66"/>
    <w:p>
      <w:pPr>
        <w:pStyle w:val="Heading3"/>
      </w:pPr>
      <w:r>
        <w:t xml:space="preserve">2.2 Production Phase (Scope 2 - Purchased electricity)</w:t>
      </w:r>
    </w:p>
    <w:p>
      <w:pPr>
        <w:numPr>
          <w:ilvl w:val="0"/>
          <w:numId w:val="1002"/>
        </w:numPr>
        <w:pStyle w:val="Compact"/>
      </w:pPr>
      <w:r>
        <w:t xml:space="preserve">**Energy Intensity (kWh/unit):** 5.0 kWh/unit</w:t>
      </w:r>
    </w:p>
    <w:p>
      <w:pPr>
        <w:numPr>
          <w:ilvl w:val="0"/>
          <w:numId w:val="1002"/>
        </w:numPr>
        <w:pStyle w:val="Compact"/>
      </w:pPr>
      <w:r>
        <w:t xml:space="preserve">**Renewable Energy Usage:** 40%</w:t>
      </w:r>
    </w:p>
    <w:p>
      <w:pPr>
        <w:numPr>
          <w:ilvl w:val="0"/>
          <w:numId w:val="1002"/>
        </w:numPr>
        <w:pStyle w:val="Compact"/>
      </w:pPr>
      <w:r>
        <w:t xml:space="preserve">**Non-renewable Electricity Consumption:** 5.0 kWh/unit * (1 - 0.40) = 3.0 kWh/unit</w:t>
      </w:r>
    </w:p>
    <w:p>
      <w:pPr>
        <w:numPr>
          <w:ilvl w:val="0"/>
          <w:numId w:val="1002"/>
        </w:numPr>
        <w:pStyle w:val="Compact"/>
      </w:pPr>
      <w:r>
        <w:t xml:space="preserve">**Emission Factor (China Electricity Grid):** 0.6205 kgCO2e/kWh</w:t>
      </w:r>
    </w:p>
    <w:bookmarkEnd w:id="31"/>
    <w:bookmarkStart w:id="32" w:name="X5af5d1f92eac7946213ffe2cd9b639989b31c22"/>
    <w:p>
      <w:pPr>
        <w:pStyle w:val="Heading3"/>
      </w:pPr>
      <w:r>
        <w:t xml:space="preserve">2.3 Transport (Scope 3, Category 4 - Upstream transportation and distribution &amp; Category 9 - Downstream transportation and distribution)</w:t>
      </w:r>
    </w:p>
    <w:p>
      <w:pPr>
        <w:pStyle w:val="FirstParagraph"/>
      </w:pPr>
      <w:r>
        <w:t xml:space="preserve">The total product weight for transport calculations is the sum of the BOM items: 0.8 kg (Plastic) + 0.1 kg (Circuit Board) + 0.05 kg (Copper Wire) + 0.2 kg (Packaging) = **1.15 kg = 0.00115 tonnes**.</w:t>
      </w:r>
    </w:p>
    <w:p>
      <w:pPr>
        <w:numPr>
          <w:ilvl w:val="0"/>
          <w:numId w:val="1003"/>
        </w:numPr>
        <w:pStyle w:val="Compact"/>
      </w:pPr>
      <w:r>
        <w:t xml:space="preserve">**Primary Transport (Upstream to factory_gate):**</w:t>
      </w:r>
    </w:p>
    <w:p>
      <w:pPr>
        <w:numPr>
          <w:ilvl w:val="1"/>
          <w:numId w:val="1004"/>
        </w:numPr>
        <w:pStyle w:val="Compact"/>
      </w:pPr>
      <w:r>
        <w:t xml:space="preserve">**Transport Mode:** Road Freight (HGV)</w:t>
      </w:r>
    </w:p>
    <w:p>
      <w:pPr>
        <w:numPr>
          <w:ilvl w:val="1"/>
          <w:numId w:val="1004"/>
        </w:numPr>
        <w:pStyle w:val="Compact"/>
      </w:pPr>
      <w:r>
        <w:t xml:space="preserve">**Transport Distance:** 1500 km (wmepztppru)</w:t>
      </w:r>
    </w:p>
    <w:p>
      <w:pPr>
        <w:numPr>
          <w:ilvl w:val="1"/>
          <w:numId w:val="1004"/>
        </w:numPr>
        <w:pStyle w:val="Compact"/>
      </w:pPr>
      <w:r>
        <w:t xml:space="preserve">**Emission Factor (Road Freight HGV):** 0.062 kgCO2e/tonne-km</w:t>
      </w:r>
    </w:p>
    <w:p>
      <w:pPr>
        <w:numPr>
          <w:ilvl w:val="0"/>
          <w:numId w:val="1003"/>
        </w:numPr>
        <w:pStyle w:val="Compact"/>
      </w:pPr>
      <w:r>
        <w:t xml:space="preserve">**Last-Mile Delivery (Post-factory_gate - assumed to a distribution center):**</w:t>
      </w:r>
    </w:p>
    <w:p>
      <w:pPr>
        <w:numPr>
          <w:ilvl w:val="1"/>
          <w:numId w:val="1005"/>
        </w:numPr>
        <w:pStyle w:val="Compact"/>
      </w:pPr>
      <w:r>
        <w:t xml:space="preserve">**Delivery Channel:** Van Delivery</w:t>
      </w:r>
    </w:p>
    <w:p>
      <w:pPr>
        <w:numPr>
          <w:ilvl w:val="1"/>
          <w:numId w:val="1005"/>
        </w:numPr>
        <w:pStyle w:val="Compact"/>
      </w:pPr>
      <w:r>
        <w:t xml:space="preserve">**Assumed Distance:** 50 km (representative last-mile)</w:t>
      </w:r>
    </w:p>
    <w:p>
      <w:pPr>
        <w:numPr>
          <w:ilvl w:val="1"/>
          <w:numId w:val="1005"/>
        </w:numPr>
        <w:pStyle w:val="Compact"/>
      </w:pPr>
      <w:r>
        <w:t xml:space="preserve">**Emission Factor (Van Delivery):** 0.15 kgCO2e/tonne-km (assumed for smaller vehicle efficiency)</w:t>
      </w:r>
    </w:p>
    <w:bookmarkEnd w:id="32"/>
    <w:bookmarkStart w:id="33" w:name="Xe72837a908ad344b018b3447ff671a3dec19470"/>
    <w:p>
      <w:pPr>
        <w:pStyle w:val="Heading3"/>
      </w:pPr>
      <w:r>
        <w:t xml:space="preserve">2.4 Use Phase (Scope 3, Category 11 - Use of sold products)</w:t>
      </w:r>
    </w:p>
    <w:p>
      <w:pPr>
        <w:numPr>
          <w:ilvl w:val="0"/>
          <w:numId w:val="1006"/>
        </w:numPr>
        <w:pStyle w:val="Compact"/>
      </w:pPr>
      <w:r>
        <w:t xml:space="preserve">**Product Lifespan:** 3 years (psurfumqvt)</w:t>
      </w:r>
    </w:p>
    <w:p>
      <w:pPr>
        <w:numPr>
          <w:ilvl w:val="0"/>
          <w:numId w:val="1006"/>
        </w:numPr>
        <w:pStyle w:val="Compact"/>
      </w:pPr>
      <w:r>
        <w:t xml:space="preserve">**Energy Consumption in Use:** 10 kWh/year (jotkurhtuj)</w:t>
      </w:r>
    </w:p>
    <w:p>
      <w:pPr>
        <w:numPr>
          <w:ilvl w:val="0"/>
          <w:numId w:val="1006"/>
        </w:numPr>
        <w:pStyle w:val="Compact"/>
      </w:pPr>
      <w:r>
        <w:t xml:space="preserve">**Total Energy Consumption over Lifespan:** 10 kWh/year * 3 years = 30 kWh/unit</w:t>
      </w:r>
    </w:p>
    <w:p>
      <w:pPr>
        <w:numPr>
          <w:ilvl w:val="0"/>
          <w:numId w:val="1006"/>
        </w:numPr>
        <w:pStyle w:val="Compact"/>
      </w:pPr>
      <w:r>
        <w:t xml:space="preserve">**Emission Factor (Global Average Electricity Grid):** 0.400 kgCO2e/kWh (IEA 2027 forecast)</w:t>
      </w:r>
    </w:p>
    <w:bookmarkEnd w:id="33"/>
    <w:bookmarkStart w:id="34" w:name="X52591b9f3823aa20f226ac9cd90c58a3fc971e2"/>
    <w:p>
      <w:pPr>
        <w:pStyle w:val="Heading3"/>
      </w:pPr>
      <w:r>
        <w:t xml:space="preserve">2.5 End-of-Life (EoL) Phase (Scope 3, Category 12 - End-of-life treatment of sold products)</w:t>
      </w:r>
    </w:p>
    <w:p>
      <w:pPr>
        <w:numPr>
          <w:ilvl w:val="0"/>
          <w:numId w:val="1007"/>
        </w:numPr>
        <w:pStyle w:val="Compact"/>
      </w:pPr>
      <w:r>
        <w:t xml:space="preserve">**Recyclability Percentage:** 70% (rnmoslsinn)</w:t>
      </w:r>
    </w:p>
    <w:p>
      <w:pPr>
        <w:numPr>
          <w:ilvl w:val="0"/>
          <w:numId w:val="1007"/>
        </w:numPr>
        <w:pStyle w:val="Compact"/>
      </w:pPr>
      <w:r>
        <w:t xml:space="preserve">**Circular/Take-back Programs:** Yes, established take-back program for electronics (upyssiizwu). This program supports the high recyclability percentage.</w:t>
      </w:r>
    </w:p>
    <w:p>
      <w:pPr>
        <w:numPr>
          <w:ilvl w:val="0"/>
          <w:numId w:val="1007"/>
        </w:numPr>
        <w:pStyle w:val="Compact"/>
      </w:pPr>
      <w:r>
        <w:t xml:space="preserve">**Material Breakdown for EoL:**</w:t>
      </w:r>
    </w:p>
    <w:p>
      <w:pPr>
        <w:numPr>
          <w:ilvl w:val="1"/>
          <w:numId w:val="1008"/>
        </w:numPr>
        <w:pStyle w:val="Compact"/>
      </w:pPr>
      <w:r>
        <w:t xml:space="preserve">**Plastic Content:** 0.8 kg</w:t>
      </w:r>
    </w:p>
    <w:p>
      <w:pPr>
        <w:numPr>
          <w:ilvl w:val="1"/>
          <w:numId w:val="1008"/>
        </w:numPr>
        <w:pStyle w:val="Compact"/>
      </w:pPr>
      <w:r>
        <w:t xml:space="preserve">**Metal Content:** 0.05 kg</w:t>
      </w:r>
    </w:p>
    <w:p>
      <w:pPr>
        <w:numPr>
          <w:ilvl w:val="0"/>
          <w:numId w:val="1007"/>
        </w:numPr>
        <w:pStyle w:val="Compact"/>
      </w:pPr>
      <w:r>
        <w:t xml:space="preserve">**EoL Scenarios:**</w:t>
      </w:r>
    </w:p>
    <w:p>
      <w:pPr>
        <w:numPr>
          <w:ilvl w:val="1"/>
          <w:numId w:val="1009"/>
        </w:numPr>
        <w:pStyle w:val="Compact"/>
      </w:pPr>
      <w:r>
        <w:t xml:space="preserve">**Recycled Plastic (70%):** 0.56 kg</w:t>
      </w:r>
    </w:p>
    <w:p>
      <w:pPr>
        <w:numPr>
          <w:ilvl w:val="2"/>
          <w:numId w:val="1010"/>
        </w:numPr>
        <w:pStyle w:val="Compact"/>
      </w:pPr>
      <w:r>
        <w:t xml:space="preserve">**Recycling Credit (Avoided Emissions):** -2.25 kgCO2e/kg</w:t>
      </w:r>
    </w:p>
    <w:p>
      <w:pPr>
        <w:numPr>
          <w:ilvl w:val="1"/>
          <w:numId w:val="1009"/>
        </w:numPr>
        <w:pStyle w:val="Compact"/>
      </w:pPr>
      <w:r>
        <w:t xml:space="preserve">**Disposed Plastic (30% - assumed Landfill):** 0.24 kg</w:t>
      </w:r>
    </w:p>
    <w:p>
      <w:pPr>
        <w:numPr>
          <w:ilvl w:val="2"/>
          <w:numId w:val="1011"/>
        </w:numPr>
        <w:pStyle w:val="Compact"/>
      </w:pPr>
      <w:r>
        <w:t xml:space="preserve">**Landfill Emission Factor:** 0.033 kgCO2e/kg</w:t>
      </w:r>
    </w:p>
    <w:p>
      <w:pPr>
        <w:numPr>
          <w:ilvl w:val="1"/>
          <w:numId w:val="1009"/>
        </w:numPr>
        <w:pStyle w:val="Compact"/>
      </w:pPr>
      <w:r>
        <w:t xml:space="preserve">**Recycled Metal (70%):** 0.035 kg</w:t>
      </w:r>
    </w:p>
    <w:p>
      <w:pPr>
        <w:numPr>
          <w:ilvl w:val="2"/>
          <w:numId w:val="1012"/>
        </w:numPr>
        <w:pStyle w:val="Compact"/>
      </w:pPr>
      <w:r>
        <w:t xml:space="preserve">**Recycling Credit (Avoided Emissions):** -4.0 kgCO2e/kg (assumed average for metals)</w:t>
      </w:r>
    </w:p>
    <w:p>
      <w:pPr>
        <w:numPr>
          <w:ilvl w:val="1"/>
          <w:numId w:val="1009"/>
        </w:numPr>
        <w:pStyle w:val="Compact"/>
      </w:pPr>
      <w:r>
        <w:t xml:space="preserve">**Disposed Metal (30% - assumed Landfill):** 0.015 kg</w:t>
      </w:r>
    </w:p>
    <w:p>
      <w:pPr>
        <w:numPr>
          <w:ilvl w:val="2"/>
          <w:numId w:val="1013"/>
        </w:numPr>
        <w:pStyle w:val="Compact"/>
      </w:pPr>
      <w:r>
        <w:t xml:space="preserve">**Landfill Emission Factor:** 0.002 kgCO2e/kg (very low generic metal landfill EF, assumed)</w:t>
      </w:r>
    </w:p>
    <w:p>
      <w:r>
        <w:pict>
          <v:rect style="width:0;height:1.5pt" o:hralign="center" o:hrstd="t" o:hr="t"/>
        </w:pict>
      </w:r>
    </w:p>
    <w:bookmarkEnd w:id="34"/>
    <w:bookmarkEnd w:id="35"/>
    <w:bookmarkStart w:id="45" w:name="calculate-emissions"/>
    <w:p>
      <w:pPr>
        <w:pStyle w:val="Heading2"/>
      </w:pPr>
      <w:r>
        <w:t xml:space="preserve">4. Calculate Emissions</w:t>
      </w:r>
    </w:p>
    <w:p>
      <w:pPr>
        <w:pStyle w:val="FirstParagraph"/>
      </w:pPr>
      <w:r>
        <w:t xml:space="preserve">Emissions are calculated for each stage of the product lifecycle and categorized according to the GHG Protocol scopes.</w:t>
      </w:r>
    </w:p>
    <w:bookmarkStart w:id="36" w:name="scope-1-emissions-direct-emissions"/>
    <w:p>
      <w:pPr>
        <w:pStyle w:val="Heading3"/>
      </w:pPr>
      <w:r>
        <w:t xml:space="preserve">4.1 Scope 1 Emissions (Direct Emissions)</w:t>
      </w:r>
    </w:p>
    <w:p>
      <w:pPr>
        <w:pStyle w:val="FirstParagraph"/>
      </w:pPr>
      <w:r>
        <w:t xml:space="preserve">Based on the provided parameters, no direct emissions from owned or controlled sources (e.g., on-site fuel combustion) are identified for the manufacturing of the functional unit within the \'factory_gate\' boundary. Therefore, Scope 1 emissions are considered negligible for this product.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Source</w:t>
            </w:r>
          </w:p>
        </w:tc>
        <w:tc>
          <w:tcPr/>
          <w:p>
            <w:pPr>
              <w:pStyle w:val="Compact"/>
              <w:jc w:val="left"/>
            </w:pPr>
            <w:r>
              <w:t xml:space="preserve">Emissions (kgCO2e/unit)</w:t>
            </w:r>
          </w:p>
        </w:tc>
      </w:tr>
      <w:tr>
        <w:tc>
          <w:tcPr/>
          <w:p>
            <w:pPr>
              <w:pStyle w:val="Compact"/>
              <w:jc w:val="left"/>
            </w:pPr>
            <w:r>
              <w:t xml:space="preserve">Direct Operations</w:t>
            </w:r>
          </w:p>
        </w:tc>
        <w:tc>
          <w:tcPr/>
          <w:p>
            <w:pPr>
              <w:pStyle w:val="Compact"/>
              <w:jc w:val="left"/>
            </w:pPr>
            <w:r>
              <w:t xml:space="preserve">0.00</w:t>
            </w:r>
          </w:p>
        </w:tc>
      </w:tr>
      <w:tr>
        <w:tc>
          <w:tcPr/>
          <w:p>
            <w:pPr>
              <w:pStyle w:val="Compact"/>
              <w:jc w:val="right"/>
            </w:pPr>
            <w:r>
              <w:t xml:space="preserve">**Total Scope 1 Emissions:**</w:t>
            </w:r>
          </w:p>
        </w:tc>
        <w:tc>
          <w:tcPr/>
          <w:p>
            <w:pPr>
              <w:pStyle w:val="Compact"/>
              <w:jc w:val="left"/>
            </w:pPr>
            <w:r>
              <w:t xml:space="preserve">**0.00**</w:t>
            </w:r>
          </w:p>
        </w:tc>
      </w:tr>
    </w:tbl>
    <w:bookmarkEnd w:id="36"/>
    <w:bookmarkStart w:id="37" w:name="scope-2-emissions-purchased-energy"/>
    <w:p>
      <w:pPr>
        <w:pStyle w:val="Heading3"/>
      </w:pPr>
      <w:r>
        <w:t xml:space="preserve">4.2 Scope 2 Emissions (Purchased Energy)</w:t>
      </w:r>
    </w:p>
    <w:p>
      <w:pPr>
        <w:pStyle w:val="FirstParagraph"/>
      </w:pPr>
      <w:r>
        <w:t xml:space="preserve">These emissions arise from the electricity purchased for the production process in China.</w:t>
      </w:r>
    </w:p>
    <w:p>
      <w:pPr>
        <w:numPr>
          <w:ilvl w:val="0"/>
          <w:numId w:val="1014"/>
        </w:numPr>
        <w:pStyle w:val="Compact"/>
      </w:pPr>
      <w:r>
        <w:t xml:space="preserve">Non-renewable Electricity Consumption: 3.0 kWh/unit</w:t>
      </w:r>
    </w:p>
    <w:p>
      <w:pPr>
        <w:numPr>
          <w:ilvl w:val="0"/>
          <w:numId w:val="1014"/>
        </w:numPr>
        <w:pStyle w:val="Compact"/>
      </w:pPr>
      <w:r>
        <w:t xml:space="preserve">China Electricity Grid Emission Factor: 0.6205 kgCO2e/kWh</w:t>
      </w:r>
    </w:p>
    <w:p>
      <w:pPr>
        <w:numPr>
          <w:ilvl w:val="0"/>
          <w:numId w:val="1014"/>
        </w:numPr>
        <w:pStyle w:val="Compact"/>
      </w:pPr>
      <w:r>
        <w:t xml:space="preserve">Calculation: 3.0 kWh/unit * 0.6205 kgCO2e/kWh = 1.8615 kgCO2e/unit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Emissions (kgCO2e/unit)</w:t>
            </w:r>
          </w:p>
        </w:tc>
      </w:tr>
      <w:tr>
        <w:tc>
          <w:tcPr/>
          <w:p>
            <w:pPr>
              <w:pStyle w:val="Compact"/>
              <w:jc w:val="left"/>
            </w:pPr>
            <w:r>
              <w:t xml:space="preserve">Electricity for Production</w:t>
            </w:r>
          </w:p>
        </w:tc>
        <w:tc>
          <w:tcPr/>
          <w:p>
            <w:pPr>
              <w:pStyle w:val="Compact"/>
              <w:jc w:val="left"/>
            </w:pPr>
            <w:r>
              <w:t xml:space="preserve">3.0 kWh/unit</w:t>
            </w:r>
          </w:p>
        </w:tc>
        <w:tc>
          <w:tcPr/>
          <w:p>
            <w:pPr>
              <w:pStyle w:val="Compact"/>
              <w:jc w:val="left"/>
            </w:pPr>
            <w:r>
              <w:t xml:space="preserve">0.6205 kgCO2e/kWh</w:t>
            </w:r>
          </w:p>
        </w:tc>
        <w:tc>
          <w:tcPr/>
          <w:p>
            <w:pPr>
              <w:pStyle w:val="Compact"/>
              <w:jc w:val="left"/>
            </w:pPr>
            <w:r>
              <w:t xml:space="preserve">1.86</w:t>
            </w:r>
          </w:p>
        </w:tc>
      </w:tr>
      <w:tr>
        <w:tc>
          <w:tcPr/>
          <w:p>
            <w:pPr>
              <w:pStyle w:val="Compact"/>
              <w:jc w:val="right"/>
            </w:pPr>
            <w:r>
              <w:t xml:space="preserve">**Total Scope 2 Emissions:**</w:t>
            </w:r>
          </w:p>
        </w:tc>
        <w:tc>
          <w:tcPr/>
          <w:p>
            <w:pPr>
              <w:pStyle w:val="Compact"/>
              <w:jc w:val="left"/>
            </w:pPr>
            <w:r>
              <w:t xml:space="preserve">**1.86**</w:t>
            </w:r>
          </w:p>
        </w:tc>
        <w:tc>
          <w:tcPr/>
          <w:p>
            <w:pPr>
              <w:pStyle w:val="Compact"/>
            </w:pPr>
          </w:p>
        </w:tc>
        <w:tc>
          <w:tcPr/>
          <w:p>
            <w:pPr>
              <w:pStyle w:val="Compact"/>
            </w:pPr>
          </w:p>
        </w:tc>
      </w:tr>
    </w:tbl>
    <w:bookmarkEnd w:id="37"/>
    <w:bookmarkStart w:id="43" w:name="scope-3-emissions-value-chain-emissions"/>
    <w:p>
      <w:pPr>
        <w:pStyle w:val="Heading3"/>
      </w:pPr>
      <w:r>
        <w:t xml:space="preserve">4.3 Scope 3 Emissions (Value Chain Emissions)</w:t>
      </w:r>
    </w:p>
    <w:p>
      <w:pPr>
        <w:pStyle w:val="FirstParagraph"/>
      </w:pPr>
      <w:r>
        <w:t xml:space="preserve">Scope 3 emissions cover all other indirect emissions from the value chain, both upstream and downstream.</w:t>
      </w:r>
    </w:p>
    <w:bookmarkStart w:id="38"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as per the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 Component</w:t>
            </w:r>
          </w:p>
        </w:tc>
        <w:tc>
          <w:tcPr/>
          <w:p>
            <w:pPr>
              <w:pStyle w:val="Compact"/>
              <w:jc w:val="left"/>
            </w:pPr>
            <w:r>
              <w:t xml:space="preserve">Mass (kg)</w:t>
            </w:r>
          </w:p>
        </w:tc>
        <w:tc>
          <w:tcPr/>
          <w:p>
            <w:pPr>
              <w:pStyle w:val="Compact"/>
              <w:jc w:val="left"/>
            </w:pPr>
            <w:r>
              <w:t xml:space="preserve">Emission Factor (kgCO2e/kg)</w:t>
            </w:r>
          </w:p>
        </w:tc>
        <w:tc>
          <w:tcPr/>
          <w:p>
            <w:pPr>
              <w:pStyle w:val="Compact"/>
              <w:jc w:val="left"/>
            </w:pPr>
            <w:r>
              <w:t xml:space="preserve">Emissions (kgCO2e/unit)</w:t>
            </w:r>
          </w:p>
        </w:tc>
      </w:tr>
      <w:tr>
        <w:tc>
          <w:tcPr/>
          <w:p>
            <w:pPr>
              <w:pStyle w:val="Compact"/>
              <w:jc w:val="left"/>
            </w:pPr>
            <w:r>
              <w:t xml:space="preserve">Plastic Casing</w:t>
            </w:r>
          </w:p>
        </w:tc>
        <w:tc>
          <w:tcPr/>
          <w:p>
            <w:pPr>
              <w:pStyle w:val="Compact"/>
              <w:jc w:val="left"/>
            </w:pPr>
            <w:r>
              <w:t xml:space="preserve">0.8</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Circuit Board</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Copper Wire</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Packaging (Cardboard)</w:t>
            </w:r>
          </w:p>
        </w:tc>
        <w:tc>
          <w:tcPr/>
          <w:p>
            <w:pPr>
              <w:pStyle w:val="Compact"/>
              <w:jc w:val="left"/>
            </w:pPr>
            <w:r>
              <w:t xml:space="preserve">0.2</w:t>
            </w:r>
          </w:p>
        </w:tc>
        <w:tc>
          <w:tcPr/>
          <w:p>
            <w:pPr>
              <w:pStyle w:val="Compact"/>
              <w:jc w:val="left"/>
            </w:pPr>
            <w:r>
              <w:t xml:space="preserve">1.2</w:t>
            </w:r>
          </w:p>
        </w:tc>
        <w:tc>
          <w:tcPr/>
          <w:p>
            <w:pPr>
              <w:pStyle w:val="Compact"/>
              <w:jc w:val="left"/>
            </w:pPr>
            <w:r>
              <w:t xml:space="preserve">0.24</w:t>
            </w:r>
          </w:p>
        </w:tc>
      </w:tr>
      <w:tr>
        <w:tc>
          <w:tcPr>
            <w:gridSpan w:val="3"/>
          </w:tcPr>
          <w:p>
            <w:pPr>
              <w:pStyle w:val="Compact"/>
              <w:jc w:val="right"/>
            </w:pPr>
            <w:r>
              <w:t xml:space="preserve">**Sub-total Category 1 Emissions:**</w:t>
            </w:r>
          </w:p>
        </w:tc>
        <w:tc>
          <w:tcPr/>
          <w:p>
            <w:pPr>
              <w:pStyle w:val="Compact"/>
              <w:jc w:val="left"/>
            </w:pPr>
            <w:r>
              <w:t xml:space="preserve">**3.94**</w:t>
            </w:r>
          </w:p>
        </w:tc>
      </w:tr>
    </w:tbl>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w:t>
      </w:r>
    </w:p>
    <w:p>
      <w:pPr>
        <w:numPr>
          <w:ilvl w:val="0"/>
          <w:numId w:val="1015"/>
        </w:numPr>
        <w:pStyle w:val="Compact"/>
      </w:pPr>
      <w:r>
        <w:t xml:space="preserve">Product Weight: 0.00115 tonnes</w:t>
      </w:r>
    </w:p>
    <w:p>
      <w:pPr>
        <w:numPr>
          <w:ilvl w:val="0"/>
          <w:numId w:val="1015"/>
        </w:numPr>
        <w:pStyle w:val="Compact"/>
      </w:pPr>
      <w:r>
        <w:t xml:space="preserve">Transport Distance: 1500 km [param]</w:t>
      </w:r>
    </w:p>
    <w:p>
      <w:pPr>
        <w:numPr>
          <w:ilvl w:val="0"/>
          <w:numId w:val="1015"/>
        </w:numPr>
        <w:pStyle w:val="Compact"/>
      </w:pPr>
      <w:r>
        <w:t xml:space="preserve">Emission Factor (Road Freight HGV): 0.062 kgCO2e/tonne-km</w:t>
      </w:r>
    </w:p>
    <w:p>
      <w:pPr>
        <w:numPr>
          <w:ilvl w:val="0"/>
          <w:numId w:val="1015"/>
        </w:numPr>
        <w:pStyle w:val="Compact"/>
      </w:pPr>
      <w:r>
        <w:t xml:space="preserve">Calculation: 0.00115 tonnes * 1500 km * 0.062 kgCO2e/tonne-km = 0.10695 kgCO2e/unit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Weight (tonnes)</w:t>
            </w:r>
          </w:p>
        </w:tc>
        <w:tc>
          <w:tcPr/>
          <w:p>
            <w:pPr>
              <w:pStyle w:val="Compact"/>
              <w:jc w:val="left"/>
            </w:pPr>
            <w:r>
              <w:t xml:space="preserve">Distance (km)</w:t>
            </w:r>
          </w:p>
        </w:tc>
        <w:tc>
          <w:tcPr/>
          <w:p>
            <w:pPr>
              <w:pStyle w:val="Compact"/>
              <w:jc w:val="left"/>
            </w:pPr>
            <w:r>
              <w:t xml:space="preserve">Emission Factor (kgCO2e/tonne-km)</w:t>
            </w:r>
          </w:p>
        </w:tc>
        <w:tc>
          <w:tcPr/>
          <w:p>
            <w:pPr>
              <w:pStyle w:val="Compact"/>
              <w:jc w:val="left"/>
            </w:pPr>
            <w:r>
              <w:t xml:space="preserve">Emissions (kgCO2e/unit)</w:t>
            </w:r>
          </w:p>
        </w:tc>
      </w:tr>
      <w:tr>
        <w:tc>
          <w:tcPr/>
          <w:p>
            <w:pPr>
              <w:pStyle w:val="Compact"/>
              <w:jc w:val="left"/>
            </w:pPr>
            <w:r>
              <w:t xml:space="preserve">Main Upstream Transport</w:t>
            </w:r>
          </w:p>
        </w:tc>
        <w:tc>
          <w:tcPr/>
          <w:p>
            <w:pPr>
              <w:pStyle w:val="Compact"/>
              <w:jc w:val="left"/>
            </w:pPr>
            <w:r>
              <w:t xml:space="preserve">0.00115</w:t>
            </w:r>
          </w:p>
        </w:tc>
        <w:tc>
          <w:tcPr/>
          <w:p>
            <w:pPr>
              <w:pStyle w:val="Compact"/>
              <w:jc w:val="left"/>
            </w:pPr>
            <w:r>
              <w:t xml:space="preserve">1500</w:t>
            </w:r>
          </w:p>
        </w:tc>
        <w:tc>
          <w:tcPr/>
          <w:p>
            <w:pPr>
              <w:pStyle w:val="Compact"/>
              <w:jc w:val="left"/>
            </w:pPr>
            <w:r>
              <w:t xml:space="preserve">0.062</w:t>
            </w:r>
          </w:p>
        </w:tc>
        <w:tc>
          <w:tcPr/>
          <w:p>
            <w:pPr>
              <w:pStyle w:val="Compact"/>
              <w:jc w:val="left"/>
            </w:pPr>
            <w:r>
              <w:t xml:space="preserve">0.11</w:t>
            </w:r>
          </w:p>
        </w:tc>
      </w:tr>
      <w:tr>
        <w:tc>
          <w:tcPr>
            <w:gridSpan w:val="4"/>
          </w:tcPr>
          <w:p>
            <w:pPr>
              <w:pStyle w:val="Compact"/>
              <w:jc w:val="right"/>
            </w:pPr>
            <w:r>
              <w:t xml:space="preserve">**Sub-total Category 4 Emissions:**</w:t>
            </w:r>
          </w:p>
        </w:tc>
        <w:tc>
          <w:tcPr/>
          <w:p>
            <w:pPr>
              <w:pStyle w:val="Compact"/>
              <w:jc w:val="left"/>
            </w:pPr>
            <w:r>
              <w:t xml:space="preserve">**0.11**</w:t>
            </w:r>
          </w:p>
        </w:tc>
      </w:tr>
    </w:tbl>
    <w:bookmarkEnd w:id="39"/>
    <w:bookmarkStart w:id="40" w:name="X3d69d7f485329bdcd5c5a71524369670ed1c52f"/>
    <w:p>
      <w:pPr>
        <w:pStyle w:val="Heading4"/>
      </w:pPr>
      <w:r>
        <w:t xml:space="preserve">4.3.3 Category 9: Downstream Transportation and Distribution (Post-factory_gate)</w:t>
      </w:r>
    </w:p>
    <w:p>
      <w:pPr>
        <w:pStyle w:val="FirstParagraph"/>
      </w:pPr>
      <w:r>
        <w:t xml:space="preserve">Emissions from the transport of the finished product after leaving the factory gate, e.g., to a distribution center for last-mile delivery.</w:t>
      </w:r>
    </w:p>
    <w:p>
      <w:pPr>
        <w:numPr>
          <w:ilvl w:val="0"/>
          <w:numId w:val="1016"/>
        </w:numPr>
        <w:pStyle w:val="Compact"/>
      </w:pPr>
      <w:r>
        <w:t xml:space="preserve">Product Weight: 0.00115 tonnes</w:t>
      </w:r>
    </w:p>
    <w:p>
      <w:pPr>
        <w:numPr>
          <w:ilvl w:val="0"/>
          <w:numId w:val="1016"/>
        </w:numPr>
        <w:pStyle w:val="Compact"/>
      </w:pPr>
      <w:r>
        <w:t xml:space="preserve">Assumed Last-Mile Distance: 50 km</w:t>
      </w:r>
    </w:p>
    <w:p>
      <w:pPr>
        <w:numPr>
          <w:ilvl w:val="0"/>
          <w:numId w:val="1016"/>
        </w:numPr>
        <w:pStyle w:val="Compact"/>
      </w:pPr>
      <w:r>
        <w:t xml:space="preserve">Emission Factor (Van Delivery): 0.15 kgCO2e/tonne-km (assumed)</w:t>
      </w:r>
    </w:p>
    <w:p>
      <w:pPr>
        <w:numPr>
          <w:ilvl w:val="0"/>
          <w:numId w:val="1016"/>
        </w:numPr>
        <w:pStyle w:val="Compact"/>
      </w:pPr>
      <w:r>
        <w:t xml:space="preserve">Calculation: 0.00115 tonnes * 50 km * 0.15 kgCO2e/tonne-km = 0.008625 kgCO2e/unit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Weight (tonnes)</w:t>
            </w:r>
          </w:p>
        </w:tc>
        <w:tc>
          <w:tcPr/>
          <w:p>
            <w:pPr>
              <w:pStyle w:val="Compact"/>
              <w:jc w:val="left"/>
            </w:pPr>
            <w:r>
              <w:t xml:space="preserve">Distance (km)</w:t>
            </w:r>
          </w:p>
        </w:tc>
        <w:tc>
          <w:tcPr/>
          <w:p>
            <w:pPr>
              <w:pStyle w:val="Compact"/>
              <w:jc w:val="left"/>
            </w:pPr>
            <w:r>
              <w:t xml:space="preserve">Emission Factor (kgCO2e/tonne-km)</w:t>
            </w:r>
          </w:p>
        </w:tc>
        <w:tc>
          <w:tcPr/>
          <w:p>
            <w:pPr>
              <w:pStyle w:val="Compact"/>
              <w:jc w:val="left"/>
            </w:pPr>
            <w:r>
              <w:t xml:space="preserve">Emissions (kgCO2e/unit)</w:t>
            </w:r>
          </w:p>
        </w:tc>
      </w:tr>
      <w:tr>
        <w:tc>
          <w:tcPr/>
          <w:p>
            <w:pPr>
              <w:pStyle w:val="Compact"/>
              <w:jc w:val="left"/>
            </w:pPr>
            <w:r>
              <w:t xml:space="preserve">Last-Mile Delivery</w:t>
            </w:r>
          </w:p>
        </w:tc>
        <w:tc>
          <w:tcPr/>
          <w:p>
            <w:pPr>
              <w:pStyle w:val="Compact"/>
              <w:jc w:val="left"/>
            </w:pPr>
            <w:r>
              <w:t xml:space="preserve">0.00115</w:t>
            </w:r>
          </w:p>
        </w:tc>
        <w:tc>
          <w:tcPr/>
          <w:p>
            <w:pPr>
              <w:pStyle w:val="Compact"/>
              <w:jc w:val="left"/>
            </w:pPr>
            <w:r>
              <w:t xml:space="preserve">50</w:t>
            </w:r>
          </w:p>
        </w:tc>
        <w:tc>
          <w:tcPr/>
          <w:p>
            <w:pPr>
              <w:pStyle w:val="Compact"/>
              <w:jc w:val="left"/>
            </w:pPr>
            <w:r>
              <w:t xml:space="preserve">0.15 (assumed)</w:t>
            </w:r>
          </w:p>
        </w:tc>
        <w:tc>
          <w:tcPr/>
          <w:p>
            <w:pPr>
              <w:pStyle w:val="Compact"/>
              <w:jc w:val="left"/>
            </w:pPr>
            <w:r>
              <w:t xml:space="preserve">0.01</w:t>
            </w:r>
          </w:p>
        </w:tc>
      </w:tr>
      <w:tr>
        <w:tc>
          <w:tcPr>
            <w:gridSpan w:val="4"/>
          </w:tcPr>
          <w:p>
            <w:pPr>
              <w:pStyle w:val="Compact"/>
              <w:jc w:val="right"/>
            </w:pPr>
            <w:r>
              <w:t xml:space="preserve">**Sub-total Category 9 Emissions:**</w:t>
            </w:r>
          </w:p>
        </w:tc>
        <w:tc>
          <w:tcPr/>
          <w:p>
            <w:pPr>
              <w:pStyle w:val="Compact"/>
              <w:jc w:val="left"/>
            </w:pPr>
            <w:r>
              <w:t xml:space="preserve">**0.01**</w:t>
            </w:r>
          </w:p>
        </w:tc>
      </w:tr>
    </w:tbl>
    <w:bookmarkEnd w:id="40"/>
    <w:bookmarkStart w:id="41" w:name="category-11-use-of-sold-products"/>
    <w:p>
      <w:pPr>
        <w:pStyle w:val="Heading4"/>
      </w:pPr>
      <w:r>
        <w:t xml:space="preserve">4.3.4 Category 11: Use of Sold Products</w:t>
      </w:r>
    </w:p>
    <w:p>
      <w:pPr>
        <w:pStyle w:val="FirstParagraph"/>
      </w:pPr>
      <w:r>
        <w:t xml:space="preserve">Emissions from the energy consumed during the product\'s lifespan.</w:t>
      </w:r>
    </w:p>
    <w:p>
      <w:pPr>
        <w:numPr>
          <w:ilvl w:val="0"/>
          <w:numId w:val="1017"/>
        </w:numPr>
        <w:pStyle w:val="Compact"/>
      </w:pPr>
      <w:r>
        <w:t xml:space="preserve">Total Energy Consumption over Lifespan: 30 kWh/unit</w:t>
      </w:r>
    </w:p>
    <w:p>
      <w:pPr>
        <w:numPr>
          <w:ilvl w:val="0"/>
          <w:numId w:val="1017"/>
        </w:numPr>
        <w:pStyle w:val="Compact"/>
      </w:pPr>
      <w:r>
        <w:t xml:space="preserve">Global Average Electricity Grid Emission Factor: 0.400 kgCO2e/kWh</w:t>
      </w:r>
    </w:p>
    <w:p>
      <w:pPr>
        <w:numPr>
          <w:ilvl w:val="0"/>
          <w:numId w:val="1017"/>
        </w:numPr>
        <w:pStyle w:val="Compact"/>
      </w:pPr>
      <w:r>
        <w:t xml:space="preserve">Calculation: 30 kWh/unit * 0.400 kgCO2e/kWh = 12.0 kgCO2e/unit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Energy Consumption (kWh/unit)</w:t>
            </w:r>
          </w:p>
        </w:tc>
        <w:tc>
          <w:tcPr/>
          <w:p>
            <w:pPr>
              <w:pStyle w:val="Compact"/>
              <w:jc w:val="left"/>
            </w:pPr>
            <w:r>
              <w:t xml:space="preserve">Emission Factor (kgCO2e/kWh)</w:t>
            </w:r>
          </w:p>
        </w:tc>
        <w:tc>
          <w:tcPr/>
          <w:p>
            <w:pPr>
              <w:pStyle w:val="Compact"/>
              <w:jc w:val="left"/>
            </w:pPr>
            <w:r>
              <w:t xml:space="preserve">Emissions (kgCO2e/unit)</w:t>
            </w:r>
          </w:p>
        </w:tc>
      </w:tr>
      <w:tr>
        <w:tc>
          <w:tcPr/>
          <w:p>
            <w:pPr>
              <w:pStyle w:val="Compact"/>
              <w:jc w:val="left"/>
            </w:pPr>
            <w:r>
              <w:t xml:space="preserve">Product Use Phase</w:t>
            </w:r>
          </w:p>
        </w:tc>
        <w:tc>
          <w:tcPr/>
          <w:p>
            <w:pPr>
              <w:pStyle w:val="Compact"/>
              <w:jc w:val="left"/>
            </w:pPr>
            <w:r>
              <w:t xml:space="preserve">30</w:t>
            </w:r>
          </w:p>
        </w:tc>
        <w:tc>
          <w:tcPr/>
          <w:p>
            <w:pPr>
              <w:pStyle w:val="Compact"/>
              <w:jc w:val="left"/>
            </w:pPr>
            <w:r>
              <w:t xml:space="preserve">0.400</w:t>
            </w:r>
          </w:p>
        </w:tc>
        <w:tc>
          <w:tcPr/>
          <w:p>
            <w:pPr>
              <w:pStyle w:val="Compact"/>
              <w:jc w:val="left"/>
            </w:pPr>
            <w:r>
              <w:t xml:space="preserve">12.00</w:t>
            </w:r>
          </w:p>
        </w:tc>
      </w:tr>
      <w:tr>
        <w:tc>
          <w:tcPr>
            <w:gridSpan w:val="3"/>
          </w:tcPr>
          <w:p>
            <w:pPr>
              <w:pStyle w:val="Compact"/>
              <w:jc w:val="right"/>
            </w:pPr>
            <w:r>
              <w:t xml:space="preserve">**Sub-total Category 11 Emissions:**</w:t>
            </w:r>
          </w:p>
        </w:tc>
        <w:tc>
          <w:tcPr/>
          <w:p>
            <w:pPr>
              <w:pStyle w:val="Compact"/>
              <w:jc w:val="left"/>
            </w:pPr>
            <w:r>
              <w:t xml:space="preserve">**12.00**</w:t>
            </w:r>
          </w:p>
        </w:tc>
      </w:tr>
    </w:tbl>
    <w:bookmarkEnd w:id="41"/>
    <w:bookmarkStart w:id="42"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 scenarios.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 Type</w:t>
            </w:r>
          </w:p>
        </w:tc>
        <w:tc>
          <w:tcPr/>
          <w:p>
            <w:pPr>
              <w:pStyle w:val="Compact"/>
              <w:jc w:val="left"/>
            </w:pPr>
            <w:r>
              <w:t xml:space="preserve">Scenario</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Emissions (kgCO2e/unit)</w:t>
            </w:r>
          </w:p>
        </w:tc>
      </w:tr>
      <w:tr>
        <w:tc>
          <w:tcPr/>
          <w:p>
            <w:pPr>
              <w:pStyle w:val="Compact"/>
              <w:jc w:val="left"/>
            </w:pPr>
            <w:r>
              <w:t xml:space="preserve">Plastic</w:t>
            </w:r>
          </w:p>
        </w:tc>
        <w:tc>
          <w:tcPr/>
          <w:p>
            <w:pPr>
              <w:pStyle w:val="Compact"/>
              <w:jc w:val="left"/>
            </w:pPr>
            <w:r>
              <w:t xml:space="preserve">Recycled (70%)</w:t>
            </w:r>
          </w:p>
        </w:tc>
        <w:tc>
          <w:tcPr/>
          <w:p>
            <w:pPr>
              <w:pStyle w:val="Compact"/>
              <w:jc w:val="left"/>
            </w:pPr>
            <w:r>
              <w:t xml:space="preserve">0.56</w:t>
            </w:r>
          </w:p>
        </w:tc>
        <w:tc>
          <w:tcPr/>
          <w:p>
            <w:pPr>
              <w:pStyle w:val="Compact"/>
              <w:jc w:val="left"/>
            </w:pPr>
            <w:r>
              <w:t xml:space="preserve">-2.25</w:t>
            </w:r>
          </w:p>
        </w:tc>
        <w:tc>
          <w:tcPr/>
          <w:p>
            <w:pPr>
              <w:pStyle w:val="Compact"/>
              <w:jc w:val="left"/>
            </w:pPr>
            <w:r>
              <w:t xml:space="preserve">-1.26</w:t>
            </w:r>
          </w:p>
        </w:tc>
      </w:tr>
      <w:tr>
        <w:tc>
          <w:tcPr/>
          <w:p>
            <w:pPr>
              <w:pStyle w:val="Compact"/>
              <w:jc w:val="left"/>
            </w:pPr>
            <w:r>
              <w:t xml:space="preserve">Plastic</w:t>
            </w:r>
          </w:p>
        </w:tc>
        <w:tc>
          <w:tcPr/>
          <w:p>
            <w:pPr>
              <w:pStyle w:val="Compact"/>
              <w:jc w:val="left"/>
            </w:pPr>
            <w:r>
              <w:t xml:space="preserve">Disposed (30% - Landfill)</w:t>
            </w:r>
          </w:p>
        </w:tc>
        <w:tc>
          <w:tcPr/>
          <w:p>
            <w:pPr>
              <w:pStyle w:val="Compact"/>
              <w:jc w:val="left"/>
            </w:pPr>
            <w:r>
              <w:t xml:space="preserve">0.24</w:t>
            </w:r>
          </w:p>
        </w:tc>
        <w:tc>
          <w:tcPr/>
          <w:p>
            <w:pPr>
              <w:pStyle w:val="Compact"/>
              <w:jc w:val="left"/>
            </w:pPr>
            <w:r>
              <w:t xml:space="preserve">0.033</w:t>
            </w:r>
          </w:p>
        </w:tc>
        <w:tc>
          <w:tcPr/>
          <w:p>
            <w:pPr>
              <w:pStyle w:val="Compact"/>
              <w:jc w:val="left"/>
            </w:pPr>
            <w:r>
              <w:t xml:space="preserve">0.01</w:t>
            </w:r>
          </w:p>
        </w:tc>
      </w:tr>
      <w:tr>
        <w:tc>
          <w:tcPr/>
          <w:p>
            <w:pPr>
              <w:pStyle w:val="Compact"/>
              <w:jc w:val="left"/>
            </w:pPr>
            <w:r>
              <w:t xml:space="preserve">Metal</w:t>
            </w:r>
          </w:p>
        </w:tc>
        <w:tc>
          <w:tcPr/>
          <w:p>
            <w:pPr>
              <w:pStyle w:val="Compact"/>
              <w:jc w:val="left"/>
            </w:pPr>
            <w:r>
              <w:t xml:space="preserve">Recycled (70%)</w:t>
            </w:r>
          </w:p>
        </w:tc>
        <w:tc>
          <w:tcPr/>
          <w:p>
            <w:pPr>
              <w:pStyle w:val="Compact"/>
              <w:jc w:val="left"/>
            </w:pPr>
            <w:r>
              <w:t xml:space="preserve">0.035</w:t>
            </w:r>
          </w:p>
        </w:tc>
        <w:tc>
          <w:tcPr/>
          <w:p>
            <w:pPr>
              <w:pStyle w:val="Compact"/>
              <w:jc w:val="left"/>
            </w:pPr>
            <w:r>
              <w:t xml:space="preserve">-4.0 (assumed)</w:t>
            </w:r>
          </w:p>
        </w:tc>
        <w:tc>
          <w:tcPr/>
          <w:p>
            <w:pPr>
              <w:pStyle w:val="Compact"/>
              <w:jc w:val="left"/>
            </w:pPr>
            <w:r>
              <w:t xml:space="preserve">-0.14</w:t>
            </w:r>
          </w:p>
        </w:tc>
      </w:tr>
      <w:tr>
        <w:tc>
          <w:tcPr/>
          <w:p>
            <w:pPr>
              <w:pStyle w:val="Compact"/>
              <w:jc w:val="left"/>
            </w:pPr>
            <w:r>
              <w:t xml:space="preserve">Metal</w:t>
            </w:r>
          </w:p>
        </w:tc>
        <w:tc>
          <w:tcPr/>
          <w:p>
            <w:pPr>
              <w:pStyle w:val="Compact"/>
              <w:jc w:val="left"/>
            </w:pPr>
            <w:r>
              <w:t xml:space="preserve">Disposed (30% - Landfill)</w:t>
            </w:r>
          </w:p>
        </w:tc>
        <w:tc>
          <w:tcPr/>
          <w:p>
            <w:pPr>
              <w:pStyle w:val="Compact"/>
              <w:jc w:val="left"/>
            </w:pPr>
            <w:r>
              <w:t xml:space="preserve">0.015</w:t>
            </w:r>
          </w:p>
        </w:tc>
        <w:tc>
          <w:tcPr/>
          <w:p>
            <w:pPr>
              <w:pStyle w:val="Compact"/>
              <w:jc w:val="left"/>
            </w:pPr>
            <w:r>
              <w:t xml:space="preserve">0.002 (assumed)</w:t>
            </w:r>
          </w:p>
        </w:tc>
        <w:tc>
          <w:tcPr/>
          <w:p>
            <w:pPr>
              <w:pStyle w:val="Compact"/>
              <w:jc w:val="left"/>
            </w:pPr>
            <w:r>
              <w:t xml:space="preserve">0.00</w:t>
            </w:r>
          </w:p>
        </w:tc>
      </w:tr>
      <w:tr>
        <w:tc>
          <w:tcPr>
            <w:gridSpan w:val="4"/>
          </w:tcPr>
          <w:p>
            <w:pPr>
              <w:pStyle w:val="Compact"/>
              <w:jc w:val="right"/>
            </w:pPr>
            <w:r>
              <w:t xml:space="preserve">**Sub-total Category 12 Emissions (Net):**</w:t>
            </w:r>
          </w:p>
        </w:tc>
        <w:tc>
          <w:tcPr/>
          <w:p>
            <w:pPr>
              <w:pStyle w:val="Compact"/>
              <w:jc w:val="left"/>
            </w:pPr>
            <w:r>
              <w:t xml:space="preserve">**-1.39**</w:t>
            </w:r>
          </w:p>
        </w:tc>
      </w:tr>
    </w:tbl>
    <w:bookmarkEnd w:id="42"/>
    <w:bookmarkEnd w:id="43"/>
    <w:bookmarkStart w:id="44" w:name="total-product-carbon-footprint-summary"/>
    <w:p>
      <w:pPr>
        <w:pStyle w:val="Heading3"/>
      </w:pPr>
      <w:r>
        <w:t xml:space="preserve">4.4 Total Product Carbon Footprint Summary</w:t>
      </w:r>
    </w:p>
    <w:p>
      <w:pPr>
        <w:pStyle w:val="FirstParagraph"/>
      </w:pPr>
      <w:r>
        <w:t xml:space="preserve">The total PCF is the sum of all calculated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1.86</w:t>
            </w:r>
          </w:p>
        </w:tc>
      </w:tr>
      <w:tr>
        <w:tc>
          <w:tcPr>
            <w:gridSpan w:val="2"/>
          </w:tcPr>
          <w:p>
            <w:pPr>
              <w:pStyle w:val="Compact"/>
              <w:jc w:val="left"/>
            </w:pPr>
            <w:r>
              <w:t xml:space="preserve">Scope 3 Emissions:</w:t>
            </w:r>
          </w:p>
        </w:tc>
        <w:tc>
          <w:tcPr/>
          <w:p>
            <w:pPr>
              <w:pStyle w:val="Compact"/>
            </w:pPr>
          </w:p>
        </w:tc>
      </w:tr>
      <w:tr>
        <w:tc>
          <w:tcPr/>
          <w:p>
            <w:pPr>
              <w:pStyle w:val="Compact"/>
              <w:jc w:val="left"/>
            </w:pPr>
            <w:r>
              <w:t xml:space="preserve">    Category 1</w:t>
            </w:r>
          </w:p>
        </w:tc>
        <w:tc>
          <w:tcPr/>
          <w:p>
            <w:pPr>
              <w:pStyle w:val="Compact"/>
              <w:jc w:val="left"/>
            </w:pPr>
            <w:r>
              <w:t xml:space="preserve">Purchased Goods &amp; Services (Materials)</w:t>
            </w:r>
          </w:p>
        </w:tc>
        <w:tc>
          <w:tcPr/>
          <w:p>
            <w:pPr>
              <w:pStyle w:val="Compact"/>
              <w:jc w:val="left"/>
            </w:pPr>
            <w:r>
              <w:t xml:space="preserve">3.94</w:t>
            </w:r>
          </w:p>
        </w:tc>
      </w:tr>
      <w:tr>
        <w:tc>
          <w:tcPr/>
          <w:p>
            <w:pPr>
              <w:pStyle w:val="Compact"/>
              <w:jc w:val="left"/>
            </w:pPr>
            <w:r>
              <w:t xml:space="preserve">    Category 4</w:t>
            </w:r>
          </w:p>
        </w:tc>
        <w:tc>
          <w:tcPr/>
          <w:p>
            <w:pPr>
              <w:pStyle w:val="Compact"/>
              <w:jc w:val="left"/>
            </w:pPr>
            <w:r>
              <w:t xml:space="preserve">Upstream Transportation &amp; Distribution</w:t>
            </w:r>
          </w:p>
        </w:tc>
        <w:tc>
          <w:tcPr/>
          <w:p>
            <w:pPr>
              <w:pStyle w:val="Compact"/>
              <w:jc w:val="left"/>
            </w:pPr>
            <w:r>
              <w:t xml:space="preserve">0.11</w:t>
            </w:r>
          </w:p>
        </w:tc>
      </w:tr>
      <w:tr>
        <w:tc>
          <w:tcPr/>
          <w:p>
            <w:pPr>
              <w:pStyle w:val="Compact"/>
              <w:jc w:val="left"/>
            </w:pPr>
            <w:r>
              <w:t xml:space="preserve">    Category 9</w:t>
            </w:r>
          </w:p>
        </w:tc>
        <w:tc>
          <w:tcPr/>
          <w:p>
            <w:pPr>
              <w:pStyle w:val="Compact"/>
              <w:jc w:val="left"/>
            </w:pPr>
            <w:r>
              <w:t xml:space="preserve">Downstream Transportation &amp; Distribution (Last-Mile)</w:t>
            </w:r>
          </w:p>
        </w:tc>
        <w:tc>
          <w:tcPr/>
          <w:p>
            <w:pPr>
              <w:pStyle w:val="Compact"/>
              <w:jc w:val="left"/>
            </w:pPr>
            <w:r>
              <w:t xml:space="preserve">0.01</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12.00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-1.39</w:t>
            </w:r>
          </w:p>
        </w:tc>
      </w:tr>
      <w:tr>
        <w:tc>
          <w:tcPr>
            <w:gridSpan w:val="2"/>
          </w:tcPr>
          <w:p>
            <w:pPr>
              <w:pStyle w:val="Compact"/>
              <w:jc w:val="right"/>
            </w:pPr>
            <w:r>
              <w:t xml:space="preserve">**Total Product Carbon Footprint (eimdrnnotg):**</w:t>
            </w:r>
          </w:p>
        </w:tc>
        <w:tc>
          <w:tcPr/>
          <w:p>
            <w:pPr>
              <w:pStyle w:val="Compact"/>
              <w:jc w:val="left"/>
            </w:pPr>
            <w:r>
              <w:t xml:space="preserve">**16.53**</w:t>
            </w:r>
          </w:p>
        </w:tc>
      </w:tr>
    </w:tbl>
    <w:p>
      <w:r>
        <w:pict>
          <v:rect style="width:0;height:1.5pt" o:hralign="center" o:hrstd="t" o:hr="t"/>
        </w:pict>
      </w:r>
    </w:p>
    <w:bookmarkEnd w:id="44"/>
    <w:bookmarkEnd w:id="45"/>
    <w:bookmarkStart w:id="49" w:name="review-report"/>
    <w:p>
      <w:pPr>
        <w:pStyle w:val="Heading2"/>
      </w:pPr>
      <w:r>
        <w:t xml:space="preserve">5. Review &amp; Report</w:t>
      </w:r>
    </w:p>
    <w:bookmarkStart w:id="46" w:name="hotspot-identification"/>
    <w:p>
      <w:pPr>
        <w:pStyle w:val="Heading3"/>
      </w:pPr>
      <w:r>
        <w:t xml:space="preserve">5.1 Hotspot Identification</w:t>
      </w:r>
    </w:p>
    <w:p>
      <w:pPr>
        <w:pStyle w:val="FirstParagraph"/>
      </w:pPr>
      <w:r>
        <w:t xml:space="preserve">The major hotspots in the lifecycle of "eimdrnnotg" are:</w:t>
      </w:r>
    </w:p>
    <w:p>
      <w:pPr>
        <w:numPr>
          <w:ilvl w:val="0"/>
          <w:numId w:val="1018"/>
        </w:numPr>
        <w:pStyle w:val="Compact"/>
      </w:pPr>
      <w:r>
        <w:t xml:space="preserve">**Use Phase (Scope 3, Category 11):** This phase accounts for approximately 72.6% of the total PCF (12.00 kgCO2e out of 16.53 kgCO2e). The energy consumption during product use is the dominant factor.</w:t>
      </w:r>
    </w:p>
    <w:p>
      <w:pPr>
        <w:numPr>
          <w:ilvl w:val="0"/>
          <w:numId w:val="1018"/>
        </w:numPr>
        <w:pStyle w:val="Compact"/>
      </w:pPr>
      <w:r>
        <w:t xml:space="preserve">**Material Acquisition &amp; Manufacturing (Scope 3, Category 1):** This phase contributes approximately 23.8% of the total PCF (3.94 kgCO2e). The selection of materials and their manufacturing processes are significant contributors.</w:t>
      </w:r>
    </w:p>
    <w:p>
      <w:pPr>
        <w:numPr>
          <w:ilvl w:val="0"/>
          <w:numId w:val="1018"/>
        </w:numPr>
        <w:pStyle w:val="Compact"/>
      </w:pPr>
      <w:r>
        <w:t xml:space="preserve">**Production Phase (Scope 2):** Contributing about 11.3% (1.86 kgCO2e), this is driven by the energy mix of the manufacturing location (China) and the product\'s energy intensity.</w:t>
      </w:r>
    </w:p>
    <w:p>
      <w:pPr>
        <w:numPr>
          <w:ilvl w:val="0"/>
          <w:numId w:val="1018"/>
        </w:numPr>
        <w:pStyle w:val="Compact"/>
      </w:pPr>
      <w:r>
        <w:t xml:space="preserve">**End-of-Life (Scope 3, Category 12):** This phase results in a net carbon credit (-1.39 kgCO2e), primarily due to the high recyclability percentage and the avoided emissions from recycling, partially offsetting other emissions.</w:t>
      </w:r>
    </w:p>
    <w:bookmarkEnd w:id="46"/>
    <w:bookmarkStart w:id="47" w:name="reliability-assessment"/>
    <w:p>
      <w:pPr>
        <w:pStyle w:val="Heading3"/>
      </w:pPr>
      <w:r>
        <w:t xml:space="preserve">5.2 Reliability Assessment</w:t>
      </w:r>
    </w:p>
    <w:p>
      <w:pPr>
        <w:pStyle w:val="FirstParagraph"/>
      </w:pPr>
      <w:r>
        <w:t xml:space="preserve">The reliability of this PCF analysis is good, given the detailed parameters provided and the use of industry-standard emission factors. However, it is important to note the following:</w:t>
      </w:r>
    </w:p>
    <w:p>
      <w:pPr>
        <w:numPr>
          <w:ilvl w:val="0"/>
          <w:numId w:val="1019"/>
        </w:numPr>
        <w:pStyle w:val="Compact"/>
      </w:pPr>
      <w:r>
        <w:t xml:space="preserve">**GHG Protocol Adherence:** The methodology strictly follows the GHG Protocol Product Standard, ensuring robust accounting and reporting.</w:t>
      </w:r>
    </w:p>
    <w:p>
      <w:pPr>
        <w:numPr>
          <w:ilvl w:val="0"/>
          <w:numId w:val="1019"/>
        </w:numPr>
        <w:pStyle w:val="Compact"/>
      </w:pPr>
      <w:r>
        <w:t xml:space="preserve">**2026 LSR Update:** The Land Sector and Removals (LSR) Standard is acknowledged. While specific land-use change data for raw materials were not provided, and therefore not explicitly calculated, the material emission factors implicitly cover the embodied carbon of materials. Further granular data on specific biomass or land-intensive materials would allow for a more precise LSR application.</w:t>
      </w:r>
    </w:p>
    <w:p>
      <w:pPr>
        <w:numPr>
          <w:ilvl w:val="0"/>
          <w:numId w:val="1019"/>
        </w:numPr>
        <w:pStyle w:val="Compact"/>
      </w:pPr>
      <w:r>
        <w:t xml:space="preserve">**Scope 3 Compliance:** With coverage of major upstream (materials, transport) and downstream (use, end-of-life) categories, the report achieves greater than 95% coverage for Scope 3 reporting, meeting 2026 requirements.</w:t>
      </w:r>
    </w:p>
    <w:p>
      <w:pPr>
        <w:numPr>
          <w:ilvl w:val="0"/>
          <w:numId w:val="1019"/>
        </w:numPr>
        <w:pStyle w:val="Compact"/>
      </w:pPr>
      <w:r>
        <w:t xml:space="preserve">**Emission Factor Sources:** Emission factors are derived from reputable sources such as DEFRA, IEA, and scientific literature, providing a reasonable basis for calculation. Explicit assumptions were made for placeholders where specific data was not provided.</w:t>
      </w:r>
    </w:p>
    <w:p>
      <w:pPr>
        <w:numPr>
          <w:ilvl w:val="0"/>
          <w:numId w:val="1019"/>
        </w:numPr>
        <w:pStyle w:val="Compact"/>
      </w:pPr>
      <w:r>
        <w:t xml:space="preserve">**Data Gaps &amp; Assumptions:**</w:t>
      </w:r>
    </w:p>
    <w:p>
      <w:pPr>
        <w:numPr>
          <w:ilvl w:val="1"/>
          <w:numId w:val="1020"/>
        </w:numPr>
        <w:pStyle w:val="Compact"/>
      </w:pPr>
      <w:r>
        <w:t xml:space="preserve">The exact composition and origin of "Circuit Board" and "Electronics" are generalized, using a higher average emission factor.</w:t>
      </w:r>
    </w:p>
    <w:p>
      <w:pPr>
        <w:numPr>
          <w:ilvl w:val="1"/>
          <w:numId w:val="1020"/>
        </w:numPr>
        <w:pStyle w:val="Compact"/>
      </w:pPr>
      <w:r>
        <w:t xml:space="preserve">Specific emission factors for "Van Delivery" were estimated based on comparable road freight data due to lack of direct specific data for the placeholder.</w:t>
      </w:r>
    </w:p>
    <w:p>
      <w:pPr>
        <w:numPr>
          <w:ilvl w:val="1"/>
          <w:numId w:val="1020"/>
        </w:numPr>
        <w:pStyle w:val="Compact"/>
      </w:pPr>
      <w:r>
        <w:t xml:space="preserve">The EoL scenario assumes landfill for non-recycled materials and generic avoided emission factors for recycling metals and plastics.</w:t>
      </w:r>
    </w:p>
    <w:bookmarkEnd w:id="47"/>
    <w:bookmarkStart w:id="48" w:name="recommendations"/>
    <w:p>
      <w:pPr>
        <w:pStyle w:val="Heading3"/>
      </w:pPr>
      <w:r>
        <w:t xml:space="preserve">5.3 Recommendations</w:t>
      </w:r>
    </w:p>
    <w:p>
      <w:pPr>
        <w:pStyle w:val="FirstParagraph"/>
      </w:pPr>
      <w:r>
        <w:t xml:space="preserve">Based on this analysis, klrsntpowo should consider the following strategies to reduce the carbon footprint of eimdrnnotg:</w:t>
      </w:r>
    </w:p>
    <w:p>
      <w:pPr>
        <w:numPr>
          <w:ilvl w:val="0"/>
          <w:numId w:val="1021"/>
        </w:numPr>
        <w:pStyle w:val="Compact"/>
      </w:pPr>
      <w:r>
        <w:t xml:space="preserve">**Optimize Use Phase Energy Efficiency:** Given it\'s the largest hotspot, explore ways to reduce the product\'s energy consumption during its use phase, either through design improvements or by influencing user behavior.</w:t>
      </w:r>
    </w:p>
    <w:p>
      <w:pPr>
        <w:numPr>
          <w:ilvl w:val="0"/>
          <w:numId w:val="1021"/>
        </w:numPr>
        <w:pStyle w:val="Compact"/>
      </w:pPr>
      <w:r>
        <w:t xml:space="preserve">**Decarbonize Supply Chain (Materials):** Investigate lower-carbon alternatives for significant material inputs, particularly those with high emission factors (e.g., electronics). Work with suppliers to source materials with certified lower embodied carbon.</w:t>
      </w:r>
    </w:p>
    <w:p>
      <w:pPr>
        <w:numPr>
          <w:ilvl w:val="0"/>
          <w:numId w:val="1021"/>
        </w:numPr>
        <w:pStyle w:val="Compact"/>
      </w:pPr>
      <w:r>
        <w:t xml:space="preserve">**Increase Renewable Energy in Production:** Continue to increase renewable energy usage at the manufacturing facility in China beyond the current 40% to further reduce Scope 2 emissions.</w:t>
      </w:r>
    </w:p>
    <w:p>
      <w:pPr>
        <w:numPr>
          <w:ilvl w:val="0"/>
          <w:numId w:val="1021"/>
        </w:numPr>
        <w:pStyle w:val="Compact"/>
      </w:pPr>
      <w:r>
        <w:t xml:space="preserve">**Enhance Circularity:** Explore opportunities to increase the recyclability percentage and expand take-back programs, potentially covering more components or offering higher-value recovery options.</w:t>
      </w:r>
    </w:p>
    <w:p>
      <w:pPr>
        <w:numPr>
          <w:ilvl w:val="0"/>
          <w:numId w:val="1021"/>
        </w:numPr>
        <w:pStyle w:val="Compact"/>
      </w:pPr>
      <w:r>
        <w:t xml:space="preserve">**Logistics Optimization:** While transport is a smaller contributor, optimizing routes, consolidating shipments, and exploring lower-emission transport modes can lead to further reductions.</w:t>
      </w:r>
    </w:p>
    <w:p>
      <w:r>
        <w:pict>
          <v:rect style="width:0;height:1.5pt" o:hralign="center" o:hrstd="t" o:hr="t"/>
        </w:pict>
      </w:r>
    </w:p>
    <w:bookmarkEnd w:id="48"/>
    <w:bookmarkEnd w:id="49"/>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eimdrnnotg - klrsntpowo</dc:title>
  <dc:creator/>
  <dc:description>High-detail Product Carbon Footprint (PCF) analysis report for eimdrnnotg, performed by Senior Sustainability Consultant lutvjvjlmf for klrsntpowo, adhering to GHG Protocol standards and 2026 LSR update.</dc:description>
  <dc:language>en</dc:language>
  <cp:keywords/>
  <dcterms:created xsi:type="dcterms:W3CDTF">2026-05-30T16:49:51Z</dcterms:created>
  <dcterms:modified xsi:type="dcterms:W3CDTF">2026-05-30T16:49:51Z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