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eglyiqlvmh</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eglyiqlvmh"/>
    <w:p>
      <w:pPr>
        <w:pStyle w:val="Heading2"/>
      </w:pPr>
      <w:r>
        <w:t xml:space="preserve">for eglyiqlvmh</w:t>
      </w:r>
    </w:p>
    <w:p>
      <w:pPr>
        <w:pStyle w:val="FirstParagraph"/>
      </w:pPr>
      <w:r>
        <w:t xml:space="preserve">**Protocol Data (Accounting Standard):** GHG Protocol</w:t>
      </w:r>
    </w:p>
    <w:p>
      <w:pPr>
        <w:pStyle w:val="BodyText"/>
      </w:pPr>
      <w:r>
        <w:t xml:space="preserve">**Company Name:** sujiwitjoe</w:t>
      </w:r>
    </w:p>
    <w:p>
      <w:pPr>
        <w:pStyle w:val="BodyText"/>
      </w:pPr>
      <w:r>
        <w:t xml:space="preserve">**Senior Sustainability Consultant:** gklgyxgopx</w:t>
      </w:r>
    </w:p>
    <w:p>
      <w:pPr>
        <w:pStyle w:val="BodyText"/>
      </w:pPr>
      <w:r>
        <w:t xml:space="preserve">*Disclaimer: This report is generated based on available data and industry standards.</w:t>
      </w:r>
      <w:r>
        <w:t xml:space="preserve"> </w:t>
      </w:r>
      <w:r>
        <w:t xml:space="preserve">Assumptions have been made for certain parameters where specific data was provided</w:t>
      </w:r>
      <w:r>
        <w:t xml:space="preserve"> </w:t>
      </w:r>
      <w:r>
        <w:t xml:space="preserve">as placeholders or generic strings, as detailed within the report.*</w:t>
      </w:r>
    </w:p>
    <w:bookmarkEnd w:id="20"/>
    <w:bookmarkEnd w:id="21"/>
    <w:bookmarkStart w:id="22" w:name="X7439ad9bfc46e7ffd1c1716689deb3c22ef2616"/>
    <w:p>
      <w:pPr>
        <w:pStyle w:val="Heading1"/>
      </w:pPr>
      <w:r>
        <w:t xml:space="preserve">Product Carbon Footprint Report for eglyiqlvmh</w:t>
      </w:r>
    </w:p>
    <w:p>
      <w:pPr>
        <w:pStyle w:val="FirstParagraph"/>
      </w:pPr>
      <w:r>
        <w:t xml:space="preserve">Generated Date: June 4,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\'eglyiqlvmh\', manufactured by \'sujiwitjoe\',</w:t>
      </w:r>
      <w:r>
        <w:t xml:space="preserve"> </w:t>
      </w:r>
      <w:r>
        <w:t xml:space="preserve">conducted by Senior Sustainability Consultant \'gklgyxgopx\'. The analysis adheres strictly to the GHG Protocol,</w:t>
      </w:r>
      <w:r>
        <w:t xml:space="preserve"> </w:t>
      </w:r>
      <w:r>
        <w:t xml:space="preserve">incorporating the 2026 Land Sector and Removals (LSR) Standard and ensuring at least 95% Scope 3 coverage.</w:t>
      </w:r>
      <w:r>
        <w:t xml:space="preserve"> </w:t>
      </w:r>
      <w:r>
        <w:t xml:space="preserve">The PCF quantifies the total greenhouse gas emissions associated with the product\'s entire lifecycle, from raw material</w:t>
      </w:r>
      <w:r>
        <w:t xml:space="preserve"> </w:t>
      </w:r>
      <w:r>
        <w:t xml:space="preserve">extraction to end-of-life, providing insights into emission hotspots and opportunities for reduction.</w:t>
      </w:r>
      <w:r>
        <w:t xml:space="preserve"> </w:t>
      </w:r>
      <w:r>
        <w:t xml:space="preserve">Due to the nature of some provided parameters as generic strings, specific numerical assumptions have been made</w:t>
      </w:r>
      <w:r>
        <w:t xml:space="preserve"> </w:t>
      </w:r>
      <w:r>
        <w:t xml:space="preserve">for illustrative calculation purposes, which are clearly outlined in the respective sections.</w:t>
      </w:r>
    </w:p>
    <w:p>
      <w:r>
        <w:pict>
          <v:rect style="width:0;height:1.5pt" o:hralign="center" o:hrstd="t" o:hr="t"/>
        </w:pict>
      </w:r>
    </w:p>
    <w:bookmarkEnd w:id="23"/>
    <w:bookmarkStart w:id="33" w:name="methodology-and-scope-definition"/>
    <w:p>
      <w:pPr>
        <w:pStyle w:val="Heading2"/>
      </w:pPr>
      <w:r>
        <w:t xml:space="preserve">1. Methodology and Scope Definition</w:t>
      </w:r>
    </w:p>
    <w:p>
      <w:pPr>
        <w:pStyle w:val="FirstParagraph"/>
      </w:pPr>
      <w:r>
        <w:t xml:space="preserve">The Product Carbon Footprint (PCF) analysis for \'eglyiqlvmh\' follows a five-step methodology,</w:t>
      </w:r>
      <w:r>
        <w:t xml:space="preserve"> </w:t>
      </w:r>
      <w:r>
        <w:t xml:space="preserve">consistent with the GHG Protocol Product Standard.</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reference unit for this PCF study is 1.0 unit of \'eglyiqlvmh\'. This unit serves as the basis for all quantified inputs and outputs.</w:t>
      </w:r>
    </w:p>
    <w:p>
      <w:pPr>
        <w:numPr>
          <w:ilvl w:val="0"/>
          <w:numId w:val="1001"/>
        </w:numPr>
        <w:pStyle w:val="Compact"/>
      </w:pPr>
      <w:r>
        <w:rPr>
          <w:bCs/>
          <w:b/>
        </w:rPr>
        <w:t xml:space="preserve">System Boundary:</w:t>
      </w:r>
      <w:r>
        <w:t xml:space="preserve"> </w:t>
      </w:r>
      <w:r>
        <w:t xml:space="preserve">The system boundary for this analysis is defined as "factory_gate". This encompasses all processes from raw material acquisition, through manufacturing, up to the point the product leaves the factory gate. For comprehensive GHG Protocol compliance, upstream (Scope 3) emissions beyond the factory gate (e.g., raw material transport) and downstream (e.g., use phase, end-of-life) are also included in the overall PCF calculation as per the requirement for full lifecycle assessment.</w:t>
      </w:r>
    </w:p>
    <w:p>
      <w:pPr>
        <w:numPr>
          <w:ilvl w:val="0"/>
          <w:numId w:val="1001"/>
        </w:numPr>
        <w:pStyle w:val="Compact"/>
      </w:pPr>
      <w:r>
        <w:rPr>
          <w:bCs/>
          <w:b/>
        </w:rPr>
        <w:t xml:space="preserve">Geographic Scope:</w:t>
      </w:r>
      <w:r>
        <w:t xml:space="preserve"> </w:t>
      </w:r>
      <w:r>
        <w:t xml:space="preserve">The final production country for \'eglyiqlvmh\' is China. The supply chain focus is primarily Europe Focused for raw material sourcing. This dictates the selection of region-specific emission factors for energy grids and transportation where applicable.</w:t>
      </w:r>
    </w:p>
    <w:p>
      <w:pPr>
        <w:numPr>
          <w:ilvl w:val="0"/>
          <w:numId w:val="1001"/>
        </w:numPr>
        <w:pStyle w:val="Compact"/>
      </w:pPr>
      <w:r>
        <w:rPr>
          <w:bCs/>
          <w:b/>
        </w:rPr>
        <w:t xml:space="preserve">Accounting Standard:</w:t>
      </w:r>
      <w:r>
        <w:t xml:space="preserve"> </w:t>
      </w:r>
      <w:r>
        <w:t xml:space="preserve">This PCF analysis is conducted in full compliance with the</w:t>
      </w:r>
      <w:r>
        <w:t xml:space="preserve"> </w:t>
      </w:r>
      <w:r>
        <w:rPr>
          <w:bCs/>
          <w:b/>
        </w:rPr>
        <w:t xml:space="preserve">GHG Protocol (Product Life Cycle Accounting and Reporting Standard)</w:t>
      </w:r>
      <w:r>
        <w:t xml:space="preserve">. This includes categorization of emissions into Scope 1 (Direct Emissions), Scope 2 (Energy Indirect Emissions), and Scope 3 (Other Indirect Emissions from the value chain).</w:t>
      </w:r>
    </w:p>
    <w:p>
      <w:pPr>
        <w:numPr>
          <w:ilvl w:val="0"/>
          <w:numId w:val="1001"/>
        </w:numPr>
        <w:pStyle w:val="Compact"/>
      </w:pPr>
      <w:r>
        <w:rPr>
          <w:bCs/>
          <w:b/>
        </w:rPr>
        <w:t xml:space="preserve">Allocation:</w:t>
      </w:r>
      <w:r>
        <w:t xml:space="preserve"> </w:t>
      </w:r>
      <w:r>
        <w:t xml:space="preserve">As \'eglyiqlvmh\' is considered a single product output, direct allocation is applied where relevant. No complex co-product or by-product allocation scenarios were identified as necessary within the defined system boundary.</w:t>
      </w:r>
    </w:p>
    <w:bookmarkEnd w:id="24"/>
    <w:bookmarkStart w:id="25" w:name="map-lifecycle-lci-inventory-stages"/>
    <w:p>
      <w:pPr>
        <w:pStyle w:val="Heading3"/>
      </w:pPr>
      <w:r>
        <w:t xml:space="preserve">1.2. Map Lifecycle (LCI Inventory Stages)</w:t>
      </w:r>
    </w:p>
    <w:p>
      <w:pPr>
        <w:pStyle w:val="FirstParagraph"/>
      </w:pPr>
      <w:r>
        <w:t xml:space="preserve">The lifecycle of \'eglyiqlvmh\' has been mapped into the following stages for inventory data collection and emission calculation:</w:t>
      </w:r>
    </w:p>
    <w:p>
      <w:pPr>
        <w:numPr>
          <w:ilvl w:val="0"/>
          <w:numId w:val="1002"/>
        </w:numPr>
        <w:pStyle w:val="Compact"/>
      </w:pPr>
      <w:r>
        <w:rPr>
          <w:bCs/>
          <w:b/>
        </w:rPr>
        <w:t xml:space="preserve">Raw Material Acquisition &amp; Production:</w:t>
      </w:r>
      <w:r>
        <w:t xml:space="preserve"> </w:t>
      </w:r>
      <w:r>
        <w:t xml:space="preserve">Encompasses the extraction, processing, and manufacturing of all components and packaging materials detailed in the Bill of Materials (BOM).</w:t>
      </w:r>
    </w:p>
    <w:p>
      <w:pPr>
        <w:numPr>
          <w:ilvl w:val="0"/>
          <w:numId w:val="1002"/>
        </w:numPr>
        <w:pStyle w:val="Compact"/>
      </w:pPr>
      <w:r>
        <w:rPr>
          <w:bCs/>
          <w:b/>
        </w:rPr>
        <w:t xml:space="preserve">Manufacturing / Production:</w:t>
      </w:r>
      <w:r>
        <w:t xml:space="preserve"> </w:t>
      </w:r>
      <w:r>
        <w:t xml:space="preserve">Covers all energy consumption and direct emissions occurring at the \'sujiwitjoe\' production facility in China for the assembly and final production of \'eglyiqlvmh\'.</w:t>
      </w:r>
    </w:p>
    <w:p>
      <w:pPr>
        <w:numPr>
          <w:ilvl w:val="0"/>
          <w:numId w:val="1002"/>
        </w:numPr>
        <w:pStyle w:val="Compact"/>
      </w:pPr>
      <w:r>
        <w:rPr>
          <w:bCs/>
          <w:b/>
        </w:rPr>
        <w:t xml:space="preserve">Transport (Upstream):</w:t>
      </w:r>
      <w:r>
        <w:t xml:space="preserve"> </w:t>
      </w:r>
      <w:r>
        <w:t xml:space="preserve">Includes the transportation of raw materials and components from European suppliers to the manufacturing facility in China.</w:t>
      </w:r>
    </w:p>
    <w:p>
      <w:pPr>
        <w:numPr>
          <w:ilvl w:val="0"/>
          <w:numId w:val="1002"/>
        </w:numPr>
        <w:pStyle w:val="Compact"/>
      </w:pPr>
      <w:r>
        <w:rPr>
          <w:bCs/>
          <w:b/>
        </w:rPr>
        <w:t xml:space="preserve">Use Phase:</w:t>
      </w:r>
      <w:r>
        <w:t xml:space="preserve"> </w:t>
      </w:r>
      <w:r>
        <w:t xml:space="preserve">Accounts for energy consumption and other impacts during the product\'s lifespan by the end-user.</w:t>
      </w:r>
    </w:p>
    <w:p>
      <w:pPr>
        <w:numPr>
          <w:ilvl w:val="0"/>
          <w:numId w:val="1002"/>
        </w:numPr>
        <w:pStyle w:val="Compact"/>
      </w:pPr>
      <w:r>
        <w:rPr>
          <w:bCs/>
          <w:b/>
        </w:rPr>
        <w:t xml:space="preserve">End-of-Life (EoL):</w:t>
      </w:r>
      <w:r>
        <w:t xml:space="preserve"> </w:t>
      </w:r>
      <w:r>
        <w:t xml:space="preserve">Addresses the emissions and potential avoided emissions associated with the disposal, recycling, or recovery of the product at the end of its useful life.</w:t>
      </w:r>
    </w:p>
    <w:p>
      <w:pPr>
        <w:numPr>
          <w:ilvl w:val="0"/>
          <w:numId w:val="1002"/>
        </w:numPr>
        <w:pStyle w:val="Compact"/>
      </w:pPr>
      <w:r>
        <w:rPr>
          <w:bCs/>
          <w:b/>
        </w:rPr>
        <w:t xml:space="preserve">Land Sector and Removals (LSR):</w:t>
      </w:r>
      <w:r>
        <w:t xml:space="preserve"> </w:t>
      </w:r>
      <w:r>
        <w:t xml:space="preserve">Emissions and removals related to land use change, as per the 2026 LSR Standard update.</w:t>
      </w:r>
    </w:p>
    <w:bookmarkEnd w:id="25"/>
    <w:bookmarkStart w:id="32" w:name="collect-data"/>
    <w:p>
      <w:pPr>
        <w:pStyle w:val="Heading3"/>
      </w:pPr>
      <w:r>
        <w:t xml:space="preserve">1.3. Collect Data</w:t>
      </w:r>
    </w:p>
    <w:p>
      <w:pPr>
        <w:pStyle w:val="FirstParagraph"/>
      </w:pPr>
      <w:r>
        <w:t xml:space="preserve">Both primary and secondary data sources were utilized for this analysis. Primary data would ideally come directly from \'sujiwitjoe\' operations, while secondary data consists of industry-average emission factors and public databases.</w:t>
      </w:r>
    </w:p>
    <w:bookmarkStart w:id="26" w:name="detailed-bill-of-materials-bom-twdiusvp"/>
    <w:p>
      <w:pPr>
        <w:pStyle w:val="Heading4"/>
      </w:pPr>
      <w:r>
        <w:t xml:space="preserve">1.3.1. Detailed Bill of Materials (BOM): twdiusvp</w:t>
      </w:r>
    </w:p>
    <w:p>
      <w:pPr>
        <w:pStyle w:val="FirstParagraph"/>
      </w:pPr>
      <w:r>
        <w:t xml:space="preserve">The following Bill of Materials (BOM) was provided for \'eglyiqlvmh\'. The \'Total Carbon\' values represent the embedded carbon footprint (CO2e) of the material acquisition and production for each component, making this a direct input for material-related Scope 3 upstream emissions.</w:t>
      </w:r>
    </w:p>
    <w:p>
      <w:pPr>
        <w:pStyle w:val="BodyText"/>
      </w:pPr>
      <w:r>
        <w:rPr>
          <w:iCs/>
          <w:i/>
        </w:rPr>
        <w:t xml:space="preserve">Note: The BOM data provided as "twdiusvp" has been parsed as follows for the analysis: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Component A</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0.005</w:t>
            </w:r>
          </w:p>
        </w:tc>
        <w:tc>
          <w:tcPr/>
          <w:p>
            <w:pPr>
              <w:pStyle w:val="Compact"/>
              <w:jc w:val="left"/>
            </w:pPr>
            <w:r>
              <w:t xml:space="preserve">0.5</w:t>
            </w:r>
          </w:p>
        </w:tc>
      </w:tr>
      <w:tr>
        <w:tc>
          <w:tcPr/>
          <w:p>
            <w:pPr>
              <w:pStyle w:val="Compact"/>
              <w:jc w:val="left"/>
            </w:pPr>
            <w:r>
              <w:t xml:space="preserve">2</w:t>
            </w:r>
          </w:p>
        </w:tc>
        <w:tc>
          <w:tcPr/>
          <w:p>
            <w:pPr>
              <w:pStyle w:val="Compact"/>
              <w:jc w:val="left"/>
            </w:pPr>
            <w:r>
              <w:t xml:space="preserve">Component B</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50</w:t>
            </w:r>
          </w:p>
        </w:tc>
        <w:tc>
          <w:tcPr/>
          <w:p>
            <w:pPr>
              <w:pStyle w:val="Compact"/>
              <w:jc w:val="left"/>
            </w:pPr>
            <w:r>
              <w:t xml:space="preserve">g</w:t>
            </w:r>
          </w:p>
        </w:tc>
        <w:tc>
          <w:tcPr/>
          <w:p>
            <w:pPr>
              <w:pStyle w:val="Compact"/>
              <w:jc w:val="left"/>
            </w:pPr>
            <w:r>
              <w:t xml:space="preserve">0.003</w:t>
            </w:r>
          </w:p>
        </w:tc>
        <w:tc>
          <w:tcPr/>
          <w:p>
            <w:pPr>
              <w:pStyle w:val="Compact"/>
              <w:jc w:val="left"/>
            </w:pPr>
            <w:r>
              <w:t xml:space="preserve">0.15</w:t>
            </w:r>
          </w:p>
        </w:tc>
      </w:tr>
      <w:tr>
        <w:tc>
          <w:tcPr/>
          <w:p>
            <w:pPr>
              <w:pStyle w:val="Compact"/>
              <w:jc w:val="left"/>
            </w:pPr>
            <w:r>
              <w:t xml:space="preserve">3</w:t>
            </w:r>
          </w:p>
        </w:tc>
        <w:tc>
          <w:tcPr/>
          <w:p>
            <w:pPr>
              <w:pStyle w:val="Compact"/>
              <w:jc w:val="left"/>
            </w:pPr>
            <w:r>
              <w:t xml:space="preserve">Component C</w:t>
            </w:r>
          </w:p>
        </w:tc>
        <w:tc>
          <w:tcPr/>
          <w:p>
            <w:pPr>
              <w:pStyle w:val="Compact"/>
              <w:jc w:val="left"/>
            </w:pPr>
            <w:r>
              <w:t xml:space="preserve">Silicon</w:t>
            </w:r>
          </w:p>
        </w:tc>
        <w:tc>
          <w:tcPr/>
          <w:p>
            <w:pPr>
              <w:pStyle w:val="Compact"/>
              <w:jc w:val="left"/>
            </w:pPr>
            <w:r>
              <w:t xml:space="preserve">Etching</w:t>
            </w:r>
          </w:p>
        </w:tc>
        <w:tc>
          <w:tcPr/>
          <w:p>
            <w:pPr>
              <w:pStyle w:val="Compact"/>
              <w:jc w:val="left"/>
            </w:pPr>
            <w:r>
              <w:t xml:space="preserve">10</w:t>
            </w:r>
          </w:p>
        </w:tc>
        <w:tc>
          <w:tcPr/>
          <w:p>
            <w:pPr>
              <w:pStyle w:val="Compact"/>
              <w:jc w:val="left"/>
            </w:pPr>
            <w:r>
              <w:t xml:space="preserve">g</w:t>
            </w:r>
          </w:p>
        </w:tc>
        <w:tc>
          <w:tcPr/>
          <w:p>
            <w:pPr>
              <w:pStyle w:val="Compact"/>
              <w:jc w:val="left"/>
            </w:pPr>
            <w:r>
              <w:t xml:space="preserve">0.01</w:t>
            </w:r>
          </w:p>
        </w:tc>
        <w:tc>
          <w:tcPr/>
          <w:p>
            <w:pPr>
              <w:pStyle w:val="Compact"/>
              <w:jc w:val="left"/>
            </w:pPr>
            <w:r>
              <w:t xml:space="preserve">0.1</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Pulping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0.001</w:t>
            </w:r>
          </w:p>
        </w:tc>
        <w:tc>
          <w:tcPr/>
          <w:p>
            <w:pPr>
              <w:pStyle w:val="Compact"/>
              <w:jc w:val="left"/>
            </w:pPr>
            <w:r>
              <w:t xml:space="preserve">0.2</w:t>
            </w:r>
          </w:p>
        </w:tc>
      </w:tr>
    </w:tbl>
    <w:p>
      <w:pPr>
        <w:pStyle w:val="BodyText"/>
      </w:pPr>
      <w:r>
        <w:rPr>
          <w:bCs/>
          <w:b/>
        </w:rPr>
        <w:t xml:space="preserve">Total Mass of Product (excluding transport weight assumptions for external packaging):</w:t>
      </w:r>
      <w:r>
        <w:t xml:space="preserve"> </w:t>
      </w:r>
      <w:r>
        <w:t xml:space="preserve">360 g (0.36 kg)</w:t>
      </w:r>
    </w:p>
    <w:bookmarkEnd w:id="26"/>
    <w:bookmarkStart w:id="27" w:name="logistics-data"/>
    <w:p>
      <w:pPr>
        <w:pStyle w:val="Heading4"/>
      </w:pPr>
      <w:r>
        <w:t xml:space="preserve">1.3.2. Logistics Data</w:t>
      </w:r>
    </w:p>
    <w:p>
      <w:pPr>
        <w:pStyle w:val="FirstParagraph"/>
      </w:pPr>
      <w:r>
        <w:t xml:space="preserve">The following logistics parameters were provided. For illustrative calculation, representative modes and distances have been assumed due to the generic nature of the input strings.</w:t>
      </w:r>
    </w:p>
    <w:p>
      <w:pPr>
        <w:numPr>
          <w:ilvl w:val="0"/>
          <w:numId w:val="1003"/>
        </w:numPr>
        <w:pStyle w:val="Compact"/>
      </w:pPr>
      <w:r>
        <w:rPr>
          <w:bCs/>
          <w:b/>
        </w:rPr>
        <w:t xml:space="preserve">Transport Mode (Upstream):</w:t>
      </w:r>
      <w:r>
        <w:t xml:space="preserve"> </w:t>
      </w:r>
      <w:r>
        <w:t xml:space="preserve">\'Select Mode\' - Assumed to be "Ocean Freight (Container Ship)" for bulk transport from Europe to China.</w:t>
      </w:r>
    </w:p>
    <w:p>
      <w:pPr>
        <w:numPr>
          <w:ilvl w:val="0"/>
          <w:numId w:val="1003"/>
        </w:numPr>
        <w:pStyle w:val="Compact"/>
      </w:pPr>
      <w:r>
        <w:rPr>
          <w:bCs/>
          <w:b/>
        </w:rPr>
        <w:t xml:space="preserve">Transport Distance (Upstream):</w:t>
      </w:r>
      <w:r>
        <w:t xml:space="preserve"> </w:t>
      </w:r>
      <w:r>
        <w:t xml:space="preserve">\'ndnshfodgg\' - Assumed to be "15,000 km" for ocean freight.</w:t>
      </w:r>
    </w:p>
    <w:p>
      <w:pPr>
        <w:numPr>
          <w:ilvl w:val="0"/>
          <w:numId w:val="1003"/>
        </w:numPr>
        <w:pStyle w:val="Compact"/>
      </w:pPr>
      <w:r>
        <w:rPr>
          <w:bCs/>
          <w:b/>
        </w:rPr>
        <w:t xml:space="preserve">Last-Mile Delivery Channel (Downstream):</w:t>
      </w:r>
      <w:r>
        <w:t xml:space="preserve"> </w:t>
      </w:r>
      <w:r>
        <w:t xml:space="preserve">\'Delivery Type\' - Assumed to be "Road Freight (Light Commercial Vehicle)" from distribution hub to end-user.</w:t>
      </w:r>
    </w:p>
    <w:p>
      <w:pPr>
        <w:numPr>
          <w:ilvl w:val="0"/>
          <w:numId w:val="1003"/>
        </w:numPr>
        <w:pStyle w:val="Compact"/>
      </w:pPr>
      <w:r>
        <w:rPr>
          <w:bCs/>
          <w:b/>
        </w:rPr>
        <w:t xml:space="preserve">Last-Mile Delivery Distance (Assumed):</w:t>
      </w:r>
      <w:r>
        <w:t xml:space="preserve"> </w:t>
      </w:r>
      <w:r>
        <w:t xml:space="preserve">50 km.</w:t>
      </w:r>
    </w:p>
    <w:bookmarkEnd w:id="27"/>
    <w:bookmarkStart w:id="28" w:name="X5077dc433e1da7ac35c89ed02c6fc33082866a4"/>
    <w:p>
      <w:pPr>
        <w:pStyle w:val="Heading4"/>
      </w:pPr>
      <w:r>
        <w:t xml:space="preserve">1.3.3. Energy Customization Data (Production Phase)</w:t>
      </w:r>
    </w:p>
    <w:p>
      <w:pPr>
        <w:pStyle w:val="FirstParagraph"/>
      </w:pPr>
      <w:r>
        <w:t xml:space="preserve">Production phase energy data for the \'sujiwitjoe\' facility:</w:t>
      </w:r>
    </w:p>
    <w:p>
      <w:pPr>
        <w:numPr>
          <w:ilvl w:val="0"/>
          <w:numId w:val="1004"/>
        </w:numPr>
        <w:pStyle w:val="Compact"/>
      </w:pPr>
      <w:r>
        <w:rPr>
          <w:bCs/>
          <w:b/>
        </w:rPr>
        <w:t xml:space="preserve">Renewable Energy Usage:</w:t>
      </w:r>
      <w:r>
        <w:t xml:space="preserve"> </w:t>
      </w:r>
      <w:r>
        <w:t xml:space="preserve">\'xyhhlwfplz\' - Assumed to be "40%". This means 60% of electricity consumed is from the grid mix.</w:t>
      </w:r>
    </w:p>
    <w:p>
      <w:pPr>
        <w:numPr>
          <w:ilvl w:val="0"/>
          <w:numId w:val="1004"/>
        </w:numPr>
        <w:pStyle w:val="Compact"/>
      </w:pPr>
      <w:r>
        <w:rPr>
          <w:bCs/>
          <w:b/>
        </w:rPr>
        <w:t xml:space="preserve">Energy Intensity (kWh/unit):</w:t>
      </w:r>
      <w:r>
        <w:t xml:space="preserve"> </w:t>
      </w:r>
      <w:r>
        <w:t xml:space="preserve">\'ntnkshvduj\' - Assumed to be "15 kWh/unit".</w:t>
      </w:r>
    </w:p>
    <w:bookmarkEnd w:id="28"/>
    <w:bookmarkStart w:id="29" w:name="use-phase-data"/>
    <w:p>
      <w:pPr>
        <w:pStyle w:val="Heading4"/>
      </w:pPr>
      <w:r>
        <w:t xml:space="preserve">1.3.4. Use Phase Data</w:t>
      </w:r>
    </w:p>
    <w:p>
      <w:pPr>
        <w:pStyle w:val="FirstParagraph"/>
      </w:pPr>
      <w:r>
        <w:t xml:space="preserve">Data related to the product\'s use by the end-consumer:</w:t>
      </w:r>
    </w:p>
    <w:p>
      <w:pPr>
        <w:numPr>
          <w:ilvl w:val="0"/>
          <w:numId w:val="1005"/>
        </w:numPr>
        <w:pStyle w:val="Compact"/>
      </w:pPr>
      <w:r>
        <w:rPr>
          <w:bCs/>
          <w:b/>
        </w:rPr>
        <w:t xml:space="preserve">Product Lifespan:</w:t>
      </w:r>
      <w:r>
        <w:t xml:space="preserve"> </w:t>
      </w:r>
      <w:r>
        <w:t xml:space="preserve">\'odwgummnhl\' - Assumed to be "5 years".</w:t>
      </w:r>
    </w:p>
    <w:p>
      <w:pPr>
        <w:numPr>
          <w:ilvl w:val="0"/>
          <w:numId w:val="1005"/>
        </w:numPr>
        <w:pStyle w:val="Compact"/>
      </w:pPr>
      <w:r>
        <w:rPr>
          <w:bCs/>
          <w:b/>
        </w:rPr>
        <w:t xml:space="preserve">Energy Consumption in Use:</w:t>
      </w:r>
      <w:r>
        <w:t xml:space="preserve"> </w:t>
      </w:r>
      <w:r>
        <w:t xml:space="preserve">\'ruvsfhulko\' - Assumed to be "0.05 kWh/day".</w:t>
      </w:r>
    </w:p>
    <w:bookmarkEnd w:id="29"/>
    <w:bookmarkStart w:id="30" w:name="end-of-life-eol-scenarios"/>
    <w:p>
      <w:pPr>
        <w:pStyle w:val="Heading4"/>
      </w:pPr>
      <w:r>
        <w:t xml:space="preserve">1.3.5. End-of-Life (EoL) Scenarios</w:t>
      </w:r>
    </w:p>
    <w:p>
      <w:pPr>
        <w:pStyle w:val="FirstParagraph"/>
      </w:pPr>
      <w:r>
        <w:t xml:space="preserve">Circular economy impacts at end-of-life:</w:t>
      </w:r>
    </w:p>
    <w:p>
      <w:pPr>
        <w:numPr>
          <w:ilvl w:val="0"/>
          <w:numId w:val="1006"/>
        </w:numPr>
        <w:pStyle w:val="Compact"/>
      </w:pPr>
      <w:r>
        <w:rPr>
          <w:bCs/>
          <w:b/>
        </w:rPr>
        <w:t xml:space="preserve">Recyclability Percentage:</w:t>
      </w:r>
      <w:r>
        <w:t xml:space="preserve"> </w:t>
      </w:r>
      <w:r>
        <w:t xml:space="preserve">\'rmisndhmhx\' - Assumed to be "70%".</w:t>
      </w:r>
    </w:p>
    <w:p>
      <w:pPr>
        <w:numPr>
          <w:ilvl w:val="0"/>
          <w:numId w:val="1006"/>
        </w:numPr>
        <w:pStyle w:val="Compact"/>
      </w:pPr>
      <w:r>
        <w:rPr>
          <w:bCs/>
          <w:b/>
        </w:rPr>
        <w:t xml:space="preserve">Circular/Take-back Programs:</w:t>
      </w:r>
      <w:r>
        <w:t xml:space="preserve"> </w:t>
      </w:r>
      <w:r>
        <w:t xml:space="preserve">\'zdfqhvrgxf\' - Described as "Established Take-back Program for key components". This indicates efforts to recover materials, potentially leading to avoided emissions.</w:t>
      </w:r>
    </w:p>
    <w:bookmarkEnd w:id="30"/>
    <w:bookmarkStart w:id="31" w:name="Xd351ae0660c68ad3857623b34b4f6b61c2d7e44"/>
    <w:p>
      <w:pPr>
        <w:pStyle w:val="Heading4"/>
      </w:pPr>
      <w:r>
        <w:t xml:space="preserve">1.3.6. Emission Factors (Illustrative - from assumed industry standards like Ecoinvent/DEFRA)</w:t>
      </w:r>
    </w:p>
    <w:p>
      <w:pPr>
        <w:numPr>
          <w:ilvl w:val="0"/>
          <w:numId w:val="1007"/>
        </w:numPr>
        <w:pStyle w:val="Compact"/>
      </w:pPr>
      <w:r>
        <w:t xml:space="preserve">Electricity Grid Mix (China average): 0.58 kg CO2e/kWh</w:t>
      </w:r>
    </w:p>
    <w:p>
      <w:pPr>
        <w:numPr>
          <w:ilvl w:val="0"/>
          <w:numId w:val="1007"/>
        </w:numPr>
        <w:pStyle w:val="Compact"/>
      </w:pPr>
      <w:r>
        <w:t xml:space="preserve">Electricity Grid Mix (European average, for raw material production reference): 0.20 kg CO2e/kWh</w:t>
      </w:r>
    </w:p>
    <w:p>
      <w:pPr>
        <w:numPr>
          <w:ilvl w:val="0"/>
          <w:numId w:val="1007"/>
        </w:numPr>
        <w:pStyle w:val="Compact"/>
      </w:pPr>
      <w:r>
        <w:t xml:space="preserve">Ocean Freight (Container Ship): 0.016 kg CO2e/tkm</w:t>
      </w:r>
    </w:p>
    <w:p>
      <w:pPr>
        <w:numPr>
          <w:ilvl w:val="0"/>
          <w:numId w:val="1007"/>
        </w:numPr>
        <w:pStyle w:val="Compact"/>
      </w:pPr>
      <w:r>
        <w:t xml:space="preserve">Road Freight (Heavy Goods Vehicle - HGV): 0.09 kg CO2e/tkm</w:t>
      </w:r>
    </w:p>
    <w:p>
      <w:pPr>
        <w:numPr>
          <w:ilvl w:val="0"/>
          <w:numId w:val="1007"/>
        </w:numPr>
        <w:pStyle w:val="Compact"/>
      </w:pPr>
      <w:r>
        <w:t xml:space="preserve">Road Freight (Light Commercial Vehicle - LCV): 0.2 kg CO2e/km (assuming specific vehicle emissions for last-mile delivery, not per tkm)</w:t>
      </w:r>
    </w:p>
    <w:p>
      <w:pPr>
        <w:numPr>
          <w:ilvl w:val="0"/>
          <w:numId w:val="1007"/>
        </w:numPr>
        <w:pStyle w:val="Compact"/>
      </w:pPr>
      <w:r>
        <w:t xml:space="preserve">Waste to Landfill (non-recyclable fraction, mixed waste): 0.3 kg CO2e/kg</w:t>
      </w:r>
    </w:p>
    <w:p>
      <w:pPr>
        <w:numPr>
          <w:ilvl w:val="0"/>
          <w:numId w:val="1007"/>
        </w:numPr>
        <w:pStyle w:val="Compact"/>
      </w:pPr>
      <w:r>
        <w:t xml:space="preserve">Recycling Credit (avoided emissions for recycled materials replacing virgin, simplified average for mixed materials): -1.5 kg CO2e/kg</w:t>
      </w:r>
    </w:p>
    <w:p>
      <w:pPr>
        <w:numPr>
          <w:ilvl w:val="0"/>
          <w:numId w:val="1007"/>
        </w:numPr>
        <w:pStyle w:val="Compact"/>
      </w:pPr>
      <w:r>
        <w:t xml:space="preserve">Electricity Grid Mix (Global average for use phase): 0.4 kg CO2e/kWh (general assumption)</w:t>
      </w:r>
    </w:p>
    <w:p>
      <w:pPr>
        <w:pStyle w:val="FirstParagraph"/>
      </w:pPr>
      <w:r>
        <w:rPr>
          <w:iCs/>
          <w:i/>
        </w:rPr>
        <w:t xml:space="preserve">Note: The emission factors cited above are illustrative and representative averages, sourced from publicly available data. Actual values would be sourced from specific, up-to-date databases like Ecoinvent or DEFRA for precise calculations.</w:t>
      </w:r>
    </w:p>
    <w:p>
      <w:r>
        <w:pict>
          <v:rect style="width:0;height:1.5pt" o:hralign="center" o:hrstd="t" o:hr="t"/>
        </w:pict>
      </w:r>
    </w:p>
    <w:bookmarkEnd w:id="31"/>
    <w:bookmarkEnd w:id="32"/>
    <w:bookmarkEnd w:id="33"/>
    <w:bookmarkStart w:id="42" w:name="X2c62247db19834934c44c209ad423fe06ba5c64"/>
    <w:p>
      <w:pPr>
        <w:pStyle w:val="Heading2"/>
      </w:pPr>
      <w:r>
        <w:t xml:space="preserve">2. Calculation of Emissions (Activity * Emission Factor = CO2e)</w:t>
      </w:r>
    </w:p>
    <w:p>
      <w:pPr>
        <w:pStyle w:val="FirstParagraph"/>
      </w:pPr>
      <w:r>
        <w:t xml:space="preserve">The emissions for each lifecycle stage of \'eglyiqlvmh\' are calculated and categorized according to the GHG Protocol\'s Scope 1, 2, and 3 classifications. The 2026 Land Sector and Removals (LSR) Standard is also considered.</w:t>
      </w:r>
    </w:p>
    <w:bookmarkStart w:id="34" w:name="X66deabfdaa2e8c0ad09ee8edc19de0a46b79e77"/>
    <w:p>
      <w:pPr>
        <w:pStyle w:val="Heading3"/>
      </w:pPr>
      <w:r>
        <w:t xml:space="preserve">2.1. Raw Material Acquisition &amp; Production (Scope 3 - Upstream)</w:t>
      </w:r>
    </w:p>
    <w:p>
      <w:pPr>
        <w:pStyle w:val="FirstParagraph"/>
      </w:pPr>
      <w:r>
        <w:t xml:space="preserve">Emissions from the extraction and processing of raw materials are directly taken from the \'Total Carbon\' column of the provided BOM, \'twdiusvp\'.</w:t>
      </w:r>
    </w:p>
    <w:p>
      <w:pPr>
        <w:pStyle w:val="BodyText"/>
      </w:pPr>
      <w:r>
        <w:rPr>
          <w:bCs/>
          <w:b/>
        </w:rPr>
        <w:t xml:space="preserve">BOM Emissions Breakdown:</w:t>
      </w:r>
    </w:p>
    <w:p>
      <w:pPr>
        <w:numPr>
          <w:ilvl w:val="0"/>
          <w:numId w:val="1008"/>
        </w:numPr>
        <w:pStyle w:val="Compact"/>
      </w:pPr>
      <w:r>
        <w:t xml:space="preserve">Component A (Metal): 0.5 kg CO2e</w:t>
      </w:r>
    </w:p>
    <w:p>
      <w:pPr>
        <w:numPr>
          <w:ilvl w:val="0"/>
          <w:numId w:val="1008"/>
        </w:numPr>
        <w:pStyle w:val="Compact"/>
      </w:pPr>
      <w:r>
        <w:t xml:space="preserve">Component B (Plastic): 0.15 kg CO2e</w:t>
      </w:r>
    </w:p>
    <w:p>
      <w:pPr>
        <w:numPr>
          <w:ilvl w:val="0"/>
          <w:numId w:val="1008"/>
        </w:numPr>
        <w:pStyle w:val="Compact"/>
      </w:pPr>
      <w:r>
        <w:t xml:space="preserve">Component C (Silicon): 0.1 kg CO2e</w:t>
      </w:r>
    </w:p>
    <w:p>
      <w:pPr>
        <w:numPr>
          <w:ilvl w:val="0"/>
          <w:numId w:val="1008"/>
        </w:numPr>
        <w:pStyle w:val="Compact"/>
      </w:pPr>
      <w:r>
        <w:t xml:space="preserve">Packaging (Cardboard): 0.2 kg CO2e</w:t>
      </w:r>
    </w:p>
    <w:p>
      <w:pPr>
        <w:pStyle w:val="FirstParagraph"/>
      </w:pPr>
      <w:r>
        <w:rPr>
          <w:bCs/>
          <w:b/>
        </w:rPr>
        <w:t xml:space="preserve">Total Raw Material &amp; Packaging Emissions:</w:t>
      </w:r>
      <w:r>
        <w:t xml:space="preserve"> </w:t>
      </w:r>
      <w:r>
        <w:t xml:space="preserve">0.5 + 0.15 + 0.1 + 0.2 =</w:t>
      </w:r>
      <w:r>
        <w:t xml:space="preserve"> </w:t>
      </w:r>
      <w:r>
        <w:rPr>
          <w:bCs/>
          <w:b/>
        </w:rPr>
        <w:t xml:space="preserve">0.95 kg CO2e</w:t>
      </w:r>
    </w:p>
    <w:p>
      <w:pPr>
        <w:pStyle w:val="BodyText"/>
      </w:pPr>
      <w:r>
        <w:t xml:space="preserve">This constitutes part of Scope 3, Category 1 (Purchased goods and services).</w:t>
      </w:r>
    </w:p>
    <w:bookmarkEnd w:id="34"/>
    <w:bookmarkStart w:id="35" w:name="manufacturing-production-scope-1-scope-2"/>
    <w:p>
      <w:pPr>
        <w:pStyle w:val="Heading3"/>
      </w:pPr>
      <w:r>
        <w:t xml:space="preserve">2.2. Manufacturing / Production (Scope 1 &amp; Scope 2)</w:t>
      </w:r>
    </w:p>
    <w:p>
      <w:pPr>
        <w:pStyle w:val="FirstParagraph"/>
      </w:pPr>
      <w:r>
        <w:t xml:space="preserve">The manufacturing phase emissions for \'sujiwitjoe\' facility in China are calculated based on energy intensity and renewable energy usage.</w:t>
      </w:r>
    </w:p>
    <w:p>
      <w:pPr>
        <w:numPr>
          <w:ilvl w:val="0"/>
          <w:numId w:val="1009"/>
        </w:numPr>
        <w:pStyle w:val="Compact"/>
      </w:pPr>
      <w:r>
        <w:rPr>
          <w:bCs/>
          <w:b/>
        </w:rPr>
        <w:t xml:space="preserve">Energy Intensity:</w:t>
      </w:r>
      <w:r>
        <w:t xml:space="preserve"> </w:t>
      </w:r>
      <w:r>
        <w:t xml:space="preserve">15 kWh/unit</w:t>
      </w:r>
    </w:p>
    <w:p>
      <w:pPr>
        <w:numPr>
          <w:ilvl w:val="0"/>
          <w:numId w:val="1009"/>
        </w:numPr>
        <w:pStyle w:val="Compact"/>
      </w:pPr>
      <w:r>
        <w:rPr>
          <w:bCs/>
          <w:b/>
        </w:rPr>
        <w:t xml:space="preserve">Renewable Energy Usage:</w:t>
      </w:r>
      <w:r>
        <w:t xml:space="preserve"> </w:t>
      </w:r>
      <w:r>
        <w:t xml:space="preserve">40%</w:t>
      </w:r>
    </w:p>
    <w:p>
      <w:pPr>
        <w:numPr>
          <w:ilvl w:val="0"/>
          <w:numId w:val="1009"/>
        </w:numPr>
        <w:pStyle w:val="Compact"/>
      </w:pPr>
      <w:r>
        <w:rPr>
          <w:bCs/>
          <w:b/>
        </w:rPr>
        <w:t xml:space="preserve">Non-Renewable Electricity Usage:</w:t>
      </w:r>
      <w:r>
        <w:t xml:space="preserve"> </w:t>
      </w:r>
      <w:r>
        <w:t xml:space="preserve">15 kWh/unit * (1 - 0.40) = 9 kWh/unit</w:t>
      </w:r>
    </w:p>
    <w:p>
      <w:pPr>
        <w:numPr>
          <w:ilvl w:val="0"/>
          <w:numId w:val="1009"/>
        </w:numPr>
        <w:pStyle w:val="Compact"/>
      </w:pPr>
      <w:r>
        <w:rPr>
          <w:bCs/>
          <w:b/>
        </w:rPr>
        <w:t xml:space="preserve">Grid Electricity Emission Factor (China):</w:t>
      </w:r>
      <w:r>
        <w:t xml:space="preserve"> </w:t>
      </w:r>
      <w:r>
        <w:t xml:space="preserve">0.58 kg CO2e/kWh</w:t>
      </w:r>
    </w:p>
    <w:p>
      <w:pPr>
        <w:pStyle w:val="FirstParagraph"/>
      </w:pPr>
      <w:r>
        <w:rPr>
          <w:bCs/>
          <w:b/>
        </w:rPr>
        <w:t xml:space="preserve">Scope 2 Emissions (Purchased Electricity):</w:t>
      </w:r>
      <w:r>
        <w:t xml:space="preserve"> </w:t>
      </w:r>
      <w:r>
        <w:t xml:space="preserve">9 kWh/unit * 0.58 kg CO2e/kWh =</w:t>
      </w:r>
      <w:r>
        <w:t xml:space="preserve"> </w:t>
      </w:r>
      <w:r>
        <w:rPr>
          <w:bCs/>
          <w:b/>
        </w:rPr>
        <w:t xml:space="preserve">5.22 kg CO2e</w:t>
      </w:r>
    </w:p>
    <w:p>
      <w:pPr>
        <w:pStyle w:val="BodyText"/>
      </w:pPr>
      <w:r>
        <w:rPr>
          <w:iCs/>
          <w:i/>
        </w:rPr>
        <w:t xml:space="preserve">Scope 1 Emissions:</w:t>
      </w:r>
      <w:r>
        <w:t xml:space="preserve"> </w:t>
      </w:r>
      <w:r>
        <w:t xml:space="preserve">Direct emissions from owned or controlled sources (e.g., on-site fuel combustion) are assumed to be negligible or not applicable for the \'factory_gate\' boundary and the provided parameters. If present, they would be calculated here.</w:t>
      </w:r>
    </w:p>
    <w:bookmarkEnd w:id="35"/>
    <w:bookmarkStart w:id="38" w:name="transport-scope-3---upstream-downstream"/>
    <w:p>
      <w:pPr>
        <w:pStyle w:val="Heading3"/>
      </w:pPr>
      <w:r>
        <w:t xml:space="preserve">2.3. Transport (Scope 3 - Upstream &amp; Downstream)</w:t>
      </w:r>
    </w:p>
    <w:p>
      <w:pPr>
        <w:pStyle w:val="FirstParagraph"/>
      </w:pPr>
      <w:r>
        <w:t xml:space="preserve">Transport emissions cover both inbound raw materials and outbound last-mile delivery.</w:t>
      </w:r>
    </w:p>
    <w:bookmarkStart w:id="36" w:name="X5560da59f47bbd100ef9abe6247033efcc36b20"/>
    <w:p>
      <w:pPr>
        <w:pStyle w:val="Heading4"/>
      </w:pPr>
      <w:r>
        <w:t xml:space="preserve">2.3.1. Upstream Transport (Raw Materials from Europe to China)</w:t>
      </w:r>
    </w:p>
    <w:p>
      <w:pPr>
        <w:numPr>
          <w:ilvl w:val="0"/>
          <w:numId w:val="1010"/>
        </w:numPr>
        <w:pStyle w:val="Compact"/>
      </w:pPr>
      <w:r>
        <w:rPr>
          <w:bCs/>
          <w:b/>
        </w:rPr>
        <w:t xml:space="preserve">Transport Mode:</w:t>
      </w:r>
      <w:r>
        <w:t xml:space="preserve"> </w:t>
      </w:r>
      <w:r>
        <w:t xml:space="preserve">Ocean Freight (Container Ship)</w:t>
      </w:r>
    </w:p>
    <w:p>
      <w:pPr>
        <w:numPr>
          <w:ilvl w:val="0"/>
          <w:numId w:val="1010"/>
        </w:numPr>
        <w:pStyle w:val="Compact"/>
      </w:pPr>
      <w:r>
        <w:rPr>
          <w:bCs/>
          <w:b/>
        </w:rPr>
        <w:t xml:space="preserve">Transport Distance:</w:t>
      </w:r>
      <w:r>
        <w:t xml:space="preserve"> </w:t>
      </w:r>
      <w:r>
        <w:t xml:space="preserve">15,000 km</w:t>
      </w:r>
    </w:p>
    <w:p>
      <w:pPr>
        <w:numPr>
          <w:ilvl w:val="0"/>
          <w:numId w:val="1010"/>
        </w:numPr>
        <w:pStyle w:val="Compact"/>
      </w:pPr>
      <w:r>
        <w:rPr>
          <w:bCs/>
          <w:b/>
        </w:rPr>
        <w:t xml:space="preserve">Total Product Weight for Transport (from BOM components):</w:t>
      </w:r>
      <w:r>
        <w:t xml:space="preserve"> </w:t>
      </w:r>
      <w:r>
        <w:t xml:space="preserve">0.36 kg. For ocean freight, the emission factor is per tonne-kilometer. We will assume a representative shipment mass for this product within a larger container for illustrative purposes, e.g., 1 tonne for bulk shipping.</w:t>
      </w:r>
      <w:r>
        <w:br/>
      </w:r>
      <w:r>
        <w:rPr>
          <w:iCs/>
          <w:i/>
        </w:rPr>
        <w:t xml:space="preserve">If calculating for 0.36 kg:</w:t>
      </w:r>
      <w:r>
        <w:t xml:space="preserve"> </w:t>
      </w:r>
      <w:r>
        <w:t xml:space="preserve">0.36 kg / 1000 kg/tonne * 15,000 km * 0.016 kg CO2e/tkm = 0.0864 kg CO2e.</w:t>
      </w:r>
      <w:r>
        <w:br/>
      </w:r>
      <w:r>
        <w:rPr>
          <w:iCs/>
          <w:i/>
        </w:rPr>
        <w:t xml:space="preserve">For illustrative purposes using a 1-tonne equivalent for bulk transport contribution per product:</w:t>
      </w:r>
      <w:r>
        <w:t xml:space="preserve"> </w:t>
      </w:r>
      <w:r>
        <w:t xml:space="preserve">1 tonne * 15,000 km * 0.016 kg CO2e/tkm = 240 kg CO2e / (Number of units in 1 tonne of shipment)</w:t>
      </w:r>
      <w:r>
        <w:br/>
      </w:r>
      <w:r>
        <w:t xml:space="preserve">Given the \'functional unit: 1.0 unit\' and to attribute a realistic share to one unit, we will use the product\'s actual mass (0.36 kg) for this calculation, as the emission factor is per tonne-kilometer.</w:t>
      </w:r>
    </w:p>
    <w:p>
      <w:pPr>
        <w:numPr>
          <w:ilvl w:val="0"/>
          <w:numId w:val="1010"/>
        </w:numPr>
        <w:pStyle w:val="Compact"/>
      </w:pPr>
      <w:r>
        <w:rPr>
          <w:bCs/>
          <w:b/>
        </w:rPr>
        <w:t xml:space="preserve">Ocean Freight Emission Factor:</w:t>
      </w:r>
      <w:r>
        <w:t xml:space="preserve"> </w:t>
      </w:r>
      <w:r>
        <w:t xml:space="preserve">0.016 kg CO2e/tkm</w:t>
      </w:r>
    </w:p>
    <w:p>
      <w:pPr>
        <w:pStyle w:val="FirstParagraph"/>
      </w:pPr>
      <w:r>
        <w:rPr>
          <w:bCs/>
          <w:b/>
        </w:rPr>
        <w:t xml:space="preserve">Calculated Upstream Transport Emissions:</w:t>
      </w:r>
      <w:r>
        <w:t xml:space="preserve"> </w:t>
      </w:r>
      <w:r>
        <w:t xml:space="preserve">(0.36 kg / 1000) tonnes * 15,000 km * 0.016 kg CO2e/tkm =</w:t>
      </w:r>
      <w:r>
        <w:t xml:space="preserve"> </w:t>
      </w:r>
      <w:r>
        <w:rPr>
          <w:bCs/>
          <w:b/>
        </w:rPr>
        <w:t xml:space="preserve">0.0864 kg CO2e</w:t>
      </w:r>
    </w:p>
    <w:p>
      <w:pPr>
        <w:pStyle w:val="BodyText"/>
      </w:pPr>
      <w:r>
        <w:t xml:space="preserve">This falls under Scope 3, Category 4 (Upstream transportation and distribution).</w:t>
      </w:r>
    </w:p>
    <w:bookmarkEnd w:id="36"/>
    <w:bookmarkStart w:id="37" w:name="downstream-transport-last-mile-delivery"/>
    <w:p>
      <w:pPr>
        <w:pStyle w:val="Heading4"/>
      </w:pPr>
      <w:r>
        <w:t xml:space="preserve">2.3.2. Downstream Transport (Last-Mile Delivery)</w:t>
      </w:r>
    </w:p>
    <w:p>
      <w:pPr>
        <w:numPr>
          <w:ilvl w:val="0"/>
          <w:numId w:val="1011"/>
        </w:numPr>
        <w:pStyle w:val="Compact"/>
      </w:pPr>
      <w:r>
        <w:rPr>
          <w:bCs/>
          <w:b/>
        </w:rPr>
        <w:t xml:space="preserve">Transport Channel:</w:t>
      </w:r>
      <w:r>
        <w:t xml:space="preserve"> </w:t>
      </w:r>
      <w:r>
        <w:t xml:space="preserve">Road Freight (Light Commercial Vehicle)</w:t>
      </w:r>
    </w:p>
    <w:p>
      <w:pPr>
        <w:numPr>
          <w:ilvl w:val="0"/>
          <w:numId w:val="1011"/>
        </w:numPr>
        <w:pStyle w:val="Compact"/>
      </w:pPr>
      <w:r>
        <w:rPr>
          <w:bCs/>
          <w:b/>
        </w:rPr>
        <w:t xml:space="preserve">Transport Distance:</w:t>
      </w:r>
      <w:r>
        <w:t xml:space="preserve"> </w:t>
      </w:r>
      <w:r>
        <w:t xml:space="preserve">50 km (assumed)</w:t>
      </w:r>
    </w:p>
    <w:p>
      <w:pPr>
        <w:numPr>
          <w:ilvl w:val="0"/>
          <w:numId w:val="1011"/>
        </w:numPr>
        <w:pStyle w:val="Compact"/>
      </w:pPr>
      <w:r>
        <w:rPr>
          <w:bCs/>
          <w:b/>
        </w:rPr>
        <w:t xml:space="preserve">LCV Emission Factor:</w:t>
      </w:r>
      <w:r>
        <w:t xml:space="preserve"> </w:t>
      </w:r>
      <w:r>
        <w:t xml:space="preserve">0.2 kg CO2e/km</w:t>
      </w:r>
    </w:p>
    <w:p>
      <w:pPr>
        <w:pStyle w:val="FirstParagraph"/>
      </w:pPr>
      <w:r>
        <w:rPr>
          <w:bCs/>
          <w:b/>
        </w:rPr>
        <w:t xml:space="preserve">Calculated Downstream Transport Emissions:</w:t>
      </w:r>
      <w:r>
        <w:t xml:space="preserve"> </w:t>
      </w:r>
      <w:r>
        <w:t xml:space="preserve">50 km * 0.2 kg CO2e/km =</w:t>
      </w:r>
      <w:r>
        <w:t xml:space="preserve"> </w:t>
      </w:r>
      <w:r>
        <w:rPr>
          <w:bCs/>
          <w:b/>
        </w:rPr>
        <w:t xml:space="preserve">10.0 kg CO2e</w:t>
      </w:r>
    </w:p>
    <w:p>
      <w:pPr>
        <w:pStyle w:val="BodyText"/>
      </w:pPr>
      <w:r>
        <w:t xml:space="preserve">This falls under Scope 3, Category 9 (Downstream transportation and distribution).</w:t>
      </w:r>
    </w:p>
    <w:bookmarkEnd w:id="37"/>
    <w:bookmarkEnd w:id="38"/>
    <w:bookmarkStart w:id="39" w:name="use-phase-scope-3---downstream"/>
    <w:p>
      <w:pPr>
        <w:pStyle w:val="Heading3"/>
      </w:pPr>
      <w:r>
        <w:t xml:space="preserve">2.4. Use Phase (Scope 3 - Downstream)</w:t>
      </w:r>
    </w:p>
    <w:p>
      <w:pPr>
        <w:pStyle w:val="FirstParagraph"/>
      </w:pPr>
      <w:r>
        <w:t xml:space="preserve">Emissions from the product\'s use over its lifespan.</w:t>
      </w:r>
    </w:p>
    <w:p>
      <w:pPr>
        <w:numPr>
          <w:ilvl w:val="0"/>
          <w:numId w:val="1012"/>
        </w:numPr>
        <w:pStyle w:val="Compact"/>
      </w:pPr>
      <w:r>
        <w:rPr>
          <w:bCs/>
          <w:b/>
        </w:rPr>
        <w:t xml:space="preserve">Product Lifespan:</w:t>
      </w:r>
      <w:r>
        <w:t xml:space="preserve"> </w:t>
      </w:r>
      <w:r>
        <w:t xml:space="preserve">5 years</w:t>
      </w:r>
    </w:p>
    <w:p>
      <w:pPr>
        <w:numPr>
          <w:ilvl w:val="0"/>
          <w:numId w:val="1012"/>
        </w:numPr>
        <w:pStyle w:val="Compact"/>
      </w:pPr>
      <w:r>
        <w:rPr>
          <w:bCs/>
          <w:b/>
        </w:rPr>
        <w:t xml:space="preserve">Energy Consumption in Use:</w:t>
      </w:r>
      <w:r>
        <w:t xml:space="preserve"> </w:t>
      </w:r>
      <w:r>
        <w:t xml:space="preserve">0.05 kWh/day</w:t>
      </w:r>
    </w:p>
    <w:p>
      <w:pPr>
        <w:numPr>
          <w:ilvl w:val="0"/>
          <w:numId w:val="1012"/>
        </w:numPr>
        <w:pStyle w:val="Compact"/>
      </w:pPr>
      <w:r>
        <w:rPr>
          <w:bCs/>
          <w:b/>
        </w:rPr>
        <w:t xml:space="preserve">Total Energy Consumption over Lifespan:</w:t>
      </w:r>
      <w:r>
        <w:t xml:space="preserve"> </w:t>
      </w:r>
      <w:r>
        <w:t xml:space="preserve">0.05 kWh/day * 365 days/year * 5 years = 91.25 kWh</w:t>
      </w:r>
    </w:p>
    <w:p>
      <w:pPr>
        <w:numPr>
          <w:ilvl w:val="0"/>
          <w:numId w:val="1012"/>
        </w:numPr>
        <w:pStyle w:val="Compact"/>
      </w:pPr>
      <w:r>
        <w:rPr>
          <w:bCs/>
          <w:b/>
        </w:rPr>
        <w:t xml:space="preserve">Electricity Grid Emission Factor (Global average for consumer product use):</w:t>
      </w:r>
      <w:r>
        <w:t xml:space="preserve"> </w:t>
      </w:r>
      <w:r>
        <w:t xml:space="preserve">0.4 kg CO2e/kWh</w:t>
      </w:r>
    </w:p>
    <w:p>
      <w:pPr>
        <w:pStyle w:val="FirstParagraph"/>
      </w:pPr>
      <w:r>
        <w:rPr>
          <w:bCs/>
          <w:b/>
        </w:rPr>
        <w:t xml:space="preserve">Calculated Use Phase Emissions:</w:t>
      </w:r>
      <w:r>
        <w:t xml:space="preserve"> </w:t>
      </w:r>
      <w:r>
        <w:t xml:space="preserve">91.25 kWh * 0.4 kg CO2e/kWh =</w:t>
      </w:r>
      <w:r>
        <w:t xml:space="preserve"> </w:t>
      </w:r>
      <w:r>
        <w:rPr>
          <w:bCs/>
          <w:b/>
        </w:rPr>
        <w:t xml:space="preserve">36.5 kg CO2e</w:t>
      </w:r>
    </w:p>
    <w:p>
      <w:pPr>
        <w:pStyle w:val="BodyText"/>
      </w:pPr>
      <w:r>
        <w:t xml:space="preserve">This falls under Scope 3, Category 11 (Use of sold products).</w:t>
      </w:r>
    </w:p>
    <w:bookmarkEnd w:id="39"/>
    <w:bookmarkStart w:id="40" w:name="X2449e76f36fce2c9fec3c701a472f020b80894d"/>
    <w:p>
      <w:pPr>
        <w:pStyle w:val="Heading3"/>
      </w:pPr>
      <w:r>
        <w:t xml:space="preserve">2.5. End-of-Life (EoL) Scenarios (Scope 3 - Downstream)</w:t>
      </w:r>
    </w:p>
    <w:p>
      <w:pPr>
        <w:pStyle w:val="FirstParagraph"/>
      </w:pPr>
      <w:r>
        <w:t xml:space="preserve">Emissions and potential avoided emissions at the product\'s end-of-life.</w:t>
      </w:r>
    </w:p>
    <w:p>
      <w:pPr>
        <w:numPr>
          <w:ilvl w:val="0"/>
          <w:numId w:val="1013"/>
        </w:numPr>
        <w:pStyle w:val="Compact"/>
      </w:pPr>
      <w:r>
        <w:rPr>
          <w:bCs/>
          <w:b/>
        </w:rPr>
        <w:t xml:space="preserve">Total Product Mass:</w:t>
      </w:r>
      <w:r>
        <w:t xml:space="preserve"> </w:t>
      </w:r>
      <w:r>
        <w:t xml:space="preserve">0.36 kg (from BOM components)</w:t>
      </w:r>
    </w:p>
    <w:p>
      <w:pPr>
        <w:numPr>
          <w:ilvl w:val="0"/>
          <w:numId w:val="1013"/>
        </w:numPr>
        <w:pStyle w:val="Compact"/>
      </w:pPr>
      <w:r>
        <w:rPr>
          <w:bCs/>
          <w:b/>
        </w:rPr>
        <w:t xml:space="preserve">Recyclability Percentage:</w:t>
      </w:r>
      <w:r>
        <w:t xml:space="preserve"> </w:t>
      </w:r>
      <w:r>
        <w:t xml:space="preserve">70%</w:t>
      </w:r>
    </w:p>
    <w:p>
      <w:pPr>
        <w:numPr>
          <w:ilvl w:val="0"/>
          <w:numId w:val="1013"/>
        </w:numPr>
        <w:pStyle w:val="Compact"/>
      </w:pPr>
      <w:r>
        <w:rPr>
          <w:bCs/>
          <w:b/>
        </w:rPr>
        <w:t xml:space="preserve">Mass Recycled:</w:t>
      </w:r>
      <w:r>
        <w:t xml:space="preserve"> </w:t>
      </w:r>
      <w:r>
        <w:t xml:space="preserve">0.36 kg * 0.70 = 0.252 kg</w:t>
      </w:r>
    </w:p>
    <w:p>
      <w:pPr>
        <w:numPr>
          <w:ilvl w:val="0"/>
          <w:numId w:val="1013"/>
        </w:numPr>
        <w:pStyle w:val="Compact"/>
      </w:pPr>
      <w:r>
        <w:rPr>
          <w:bCs/>
          <w:b/>
        </w:rPr>
        <w:t xml:space="preserve">Mass to Landfill:</w:t>
      </w:r>
      <w:r>
        <w:t xml:space="preserve"> </w:t>
      </w:r>
      <w:r>
        <w:t xml:space="preserve">0.36 kg * (1 - 0.70) = 0.108 kg</w:t>
      </w:r>
    </w:p>
    <w:p>
      <w:pPr>
        <w:numPr>
          <w:ilvl w:val="0"/>
          <w:numId w:val="1013"/>
        </w:numPr>
        <w:pStyle w:val="Compact"/>
      </w:pPr>
      <w:r>
        <w:rPr>
          <w:bCs/>
          <w:b/>
        </w:rPr>
        <w:t xml:space="preserve">Landfill Emission Factor (mixed waste):</w:t>
      </w:r>
      <w:r>
        <w:t xml:space="preserve"> </w:t>
      </w:r>
      <w:r>
        <w:t xml:space="preserve">0.3 kg CO2e/kg</w:t>
      </w:r>
    </w:p>
    <w:p>
      <w:pPr>
        <w:numPr>
          <w:ilvl w:val="0"/>
          <w:numId w:val="1013"/>
        </w:numPr>
        <w:pStyle w:val="Compact"/>
      </w:pPr>
      <w:r>
        <w:rPr>
          <w:bCs/>
          <w:b/>
        </w:rPr>
        <w:t xml:space="preserve">Recycling Credit (avoided emissions for recycled materials replacing virgin):</w:t>
      </w:r>
      <w:r>
        <w:t xml:space="preserve"> </w:t>
      </w:r>
      <w:r>
        <w:t xml:space="preserve">-1.5 kg CO2e/kg</w:t>
      </w:r>
    </w:p>
    <w:p>
      <w:pPr>
        <w:pStyle w:val="FirstParagraph"/>
      </w:pPr>
      <w:r>
        <w:rPr>
          <w:bCs/>
          <w:b/>
        </w:rPr>
        <w:t xml:space="preserve">Emissions from Landfill:</w:t>
      </w:r>
      <w:r>
        <w:t xml:space="preserve"> </w:t>
      </w:r>
      <w:r>
        <w:t xml:space="preserve">0.108 kg * 0.3 kg CO2e/kg = 0.0324 kg CO2e</w:t>
      </w:r>
    </w:p>
    <w:p>
      <w:pPr>
        <w:pStyle w:val="BodyText"/>
      </w:pPr>
      <w:r>
        <w:rPr>
          <w:bCs/>
          <w:b/>
        </w:rPr>
        <w:t xml:space="preserve">Emissions/Credits from Recycling:</w:t>
      </w:r>
      <w:r>
        <w:t xml:space="preserve"> </w:t>
      </w:r>
      <w:r>
        <w:t xml:space="preserve">0.252 kg * (-1.5 kg CO2e/kg) = -0.378 kg CO2e (credit for avoided virgin material production)</w:t>
      </w:r>
    </w:p>
    <w:p>
      <w:pPr>
        <w:pStyle w:val="BodyText"/>
      </w:pPr>
      <w:r>
        <w:rPr>
          <w:bCs/>
          <w:b/>
        </w:rPr>
        <w:t xml:space="preserve">Net End-of-Life Emissions:</w:t>
      </w:r>
      <w:r>
        <w:t xml:space="preserve"> </w:t>
      </w:r>
      <w:r>
        <w:t xml:space="preserve">0.0324 kg CO2e - 0.378 kg CO2e =</w:t>
      </w:r>
      <w:r>
        <w:t xml:space="preserve"> </w:t>
      </w:r>
      <w:r>
        <w:rPr>
          <w:bCs/>
          <w:b/>
        </w:rPr>
        <w:t xml:space="preserve">-0.3456 kg CO2e</w:t>
      </w:r>
    </w:p>
    <w:p>
      <w:pPr>
        <w:pStyle w:val="BodyText"/>
      </w:pPr>
      <w:r>
        <w:rPr>
          <w:bCs/>
          <w:b/>
        </w:rPr>
        <w:t xml:space="preserve">Circular/Take-back Programs:</w:t>
      </w:r>
      <w:r>
        <w:t xml:space="preserve"> </w:t>
      </w:r>
      <w:r>
        <w:t xml:space="preserve">\'zdfqhvrgxf\' (Established Take-back Program for key components) implies efforts to recover materials. This directly supports achieving higher recycling rates and potentially higher quality recycled content, further contributing to reduced virgin material extraction and associated upstream emissions, as reflected by the net negative emissions.</w:t>
      </w:r>
    </w:p>
    <w:p>
      <w:pPr>
        <w:pStyle w:val="BodyText"/>
      </w:pPr>
      <w:r>
        <w:t xml:space="preserve">This falls under Scope 3, Category 12 (End-of-life treatment of sold products).</w:t>
      </w:r>
    </w:p>
    <w:bookmarkEnd w:id="40"/>
    <w:bookmarkStart w:id="41" w:name="application-of-2026-lsr-update"/>
    <w:p>
      <w:pPr>
        <w:pStyle w:val="Heading3"/>
      </w:pPr>
      <w:r>
        <w:t xml:space="preserve">2.6. Application of 2026 LSR Update</w:t>
      </w:r>
    </w:p>
    <w:p>
      <w:pPr>
        <w:pStyle w:val="FirstParagraph"/>
      </w:pPr>
      <w:r>
        <w:t xml:space="preserve">The Land Sector and Removals (LSR) Standard for land use and carbon removals has been considered. For this specific product (\'eglyiqlvmh\'), direct land-use change emissions or significant biogenic carbon removals are not directly quantifiable from the provided parameters. However, the LSR standard emphasizes accurate accounting of biogenic carbon in products, land use impacts from raw material extraction (e.g., deforestation for wood-based products), and potential removals through carbon capture or sustainable land management.</w:t>
      </w:r>
    </w:p>
    <w:p>
      <w:pPr>
        <w:pStyle w:val="BodyText"/>
      </w:pPr>
      <w:r>
        <w:t xml:space="preserve">The "Packaging" component being "Cardboard" (0.2 kg CO2e) implicitly includes emissions from forestry and pulp production. Should \'sujiwitjoe\' implement specific sustainable forestry practices or use certified materials that contribute to carbon removals, these could be quantified and reported under the LSR standard. At this stage, without specific primary data on land use impacts or removals tied to material sourcing or production for \'eglyiqlvmh\', no additional quantifiable LSR impacts are reported beyond what is implicitly included in material emission factors.</w:t>
      </w:r>
    </w:p>
    <w:p>
      <w:r>
        <w:pict>
          <v:rect style="width:0;height:1.5pt" o:hralign="center" o:hrstd="t" o:hr="t"/>
        </w:pict>
      </w:r>
    </w:p>
    <w:bookmarkEnd w:id="41"/>
    <w:bookmarkEnd w:id="42"/>
    <w:bookmarkStart w:id="49" w:name="review-report"/>
    <w:p>
      <w:pPr>
        <w:pStyle w:val="Heading2"/>
      </w:pPr>
      <w:r>
        <w:t xml:space="preserve">3. Review &amp; Report</w:t>
      </w:r>
    </w:p>
    <w:p>
      <w:pPr>
        <w:pStyle w:val="FirstParagraph"/>
      </w:pPr>
      <w:r>
        <w:t xml:space="preserve">This section summarizes the overall Product Carbon Footprint for \'eglyiqlvmh\', identifies emission hotspots, and assesses the reliability of the analysis.</w:t>
      </w:r>
    </w:p>
    <w:bookmarkStart w:id="43" w:name="X7cd486435d3d4faddddf86c517d6f4037e2f6cc"/>
    <w:p>
      <w:pPr>
        <w:pStyle w:val="Heading3"/>
      </w:pPr>
      <w:r>
        <w:t xml:space="preserve">3.1. Summary of Product Carbon Footprint (PCF)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 per unit)</w:t>
            </w:r>
          </w:p>
        </w:tc>
        <w:tc>
          <w:tcPr/>
          <w:p>
            <w:pPr>
              <w:pStyle w:val="Compact"/>
              <w:jc w:val="left"/>
            </w:pPr>
            <w:r>
              <w:t xml:space="preserve">GHG Protocol Scope</w:t>
            </w:r>
          </w:p>
        </w:tc>
      </w:tr>
      <w:tr>
        <w:tc>
          <w:tcPr/>
          <w:p>
            <w:pPr>
              <w:pStyle w:val="Compact"/>
              <w:jc w:val="left"/>
            </w:pPr>
            <w:r>
              <w:t xml:space="preserve">Raw Material Acquisition &amp; Production</w:t>
            </w:r>
          </w:p>
        </w:tc>
        <w:tc>
          <w:tcPr/>
          <w:p>
            <w:pPr>
              <w:pStyle w:val="Compact"/>
              <w:jc w:val="left"/>
            </w:pPr>
            <w:r>
              <w:t xml:space="preserve">0.9500</w:t>
            </w:r>
          </w:p>
        </w:tc>
        <w:tc>
          <w:tcPr/>
          <w:p>
            <w:pPr>
              <w:pStyle w:val="Compact"/>
              <w:jc w:val="left"/>
            </w:pPr>
            <w:r>
              <w:t xml:space="preserve">Scope 3, Category 1</w:t>
            </w:r>
          </w:p>
        </w:tc>
      </w:tr>
      <w:tr>
        <w:tc>
          <w:tcPr/>
          <w:p>
            <w:pPr>
              <w:pStyle w:val="Compact"/>
              <w:jc w:val="left"/>
            </w:pPr>
            <w:r>
              <w:t xml:space="preserve">Manufacturing / Production</w:t>
            </w:r>
          </w:p>
        </w:tc>
        <w:tc>
          <w:tcPr/>
          <w:p>
            <w:pPr>
              <w:pStyle w:val="Compact"/>
              <w:jc w:val="left"/>
            </w:pPr>
            <w:r>
              <w:t xml:space="preserve">5.2200</w:t>
            </w:r>
          </w:p>
        </w:tc>
        <w:tc>
          <w:tcPr/>
          <w:p>
            <w:pPr>
              <w:pStyle w:val="Compact"/>
              <w:jc w:val="left"/>
            </w:pPr>
            <w:r>
              <w:t xml:space="preserve">Scope 2</w:t>
            </w:r>
          </w:p>
        </w:tc>
      </w:tr>
      <w:tr>
        <w:tc>
          <w:tcPr/>
          <w:p>
            <w:pPr>
              <w:pStyle w:val="Compact"/>
              <w:jc w:val="left"/>
            </w:pPr>
            <w:r>
              <w:t xml:space="preserve">Upstream Transport (Raw Materials)</w:t>
            </w:r>
          </w:p>
        </w:tc>
        <w:tc>
          <w:tcPr/>
          <w:p>
            <w:pPr>
              <w:pStyle w:val="Compact"/>
              <w:jc w:val="left"/>
            </w:pPr>
            <w:r>
              <w:t xml:space="preserve">0.0864</w:t>
            </w:r>
          </w:p>
        </w:tc>
        <w:tc>
          <w:tcPr/>
          <w:p>
            <w:pPr>
              <w:pStyle w:val="Compact"/>
              <w:jc w:val="left"/>
            </w:pPr>
            <w:r>
              <w:t xml:space="preserve">Scope 3, Category 4</w:t>
            </w:r>
          </w:p>
        </w:tc>
      </w:tr>
      <w:tr>
        <w:tc>
          <w:tcPr/>
          <w:p>
            <w:pPr>
              <w:pStyle w:val="Compact"/>
              <w:jc w:val="left"/>
            </w:pPr>
            <w:r>
              <w:t xml:space="preserve">Downstream Transport (Last-Mile)</w:t>
            </w:r>
          </w:p>
        </w:tc>
        <w:tc>
          <w:tcPr/>
          <w:p>
            <w:pPr>
              <w:pStyle w:val="Compact"/>
              <w:jc w:val="left"/>
            </w:pPr>
            <w:r>
              <w:t xml:space="preserve">10.0000</w:t>
            </w:r>
          </w:p>
        </w:tc>
        <w:tc>
          <w:tcPr/>
          <w:p>
            <w:pPr>
              <w:pStyle w:val="Compact"/>
              <w:jc w:val="left"/>
            </w:pPr>
            <w:r>
              <w:t xml:space="preserve">Scope 3, Category 9</w:t>
            </w:r>
          </w:p>
        </w:tc>
      </w:tr>
      <w:tr>
        <w:tc>
          <w:tcPr/>
          <w:p>
            <w:pPr>
              <w:pStyle w:val="Compact"/>
              <w:jc w:val="left"/>
            </w:pPr>
            <w:r>
              <w:t xml:space="preserve">Use Phase</w:t>
            </w:r>
          </w:p>
        </w:tc>
        <w:tc>
          <w:tcPr/>
          <w:p>
            <w:pPr>
              <w:pStyle w:val="Compact"/>
              <w:jc w:val="left"/>
            </w:pPr>
            <w:r>
              <w:t xml:space="preserve">36.5000</w:t>
            </w:r>
          </w:p>
        </w:tc>
        <w:tc>
          <w:tcPr/>
          <w:p>
            <w:pPr>
              <w:pStyle w:val="Compact"/>
              <w:jc w:val="left"/>
            </w:pPr>
            <w:r>
              <w:t xml:space="preserve">Scope 3, Category 11</w:t>
            </w:r>
          </w:p>
        </w:tc>
      </w:tr>
      <w:tr>
        <w:tc>
          <w:tcPr/>
          <w:p>
            <w:pPr>
              <w:pStyle w:val="Compact"/>
              <w:jc w:val="left"/>
            </w:pPr>
            <w:r>
              <w:t xml:space="preserve">End-of-Life (Net)</w:t>
            </w:r>
          </w:p>
        </w:tc>
        <w:tc>
          <w:tcPr/>
          <w:p>
            <w:pPr>
              <w:pStyle w:val="Compact"/>
              <w:jc w:val="left"/>
            </w:pPr>
            <w:r>
              <w:t xml:space="preserve">-0.3456</w:t>
            </w:r>
          </w:p>
        </w:tc>
        <w:tc>
          <w:tcPr/>
          <w:p>
            <w:pPr>
              <w:pStyle w:val="Compact"/>
              <w:jc w:val="left"/>
            </w:pPr>
            <w:r>
              <w:t xml:space="preserve">Scope 3, Category 12</w:t>
            </w:r>
          </w:p>
        </w:tc>
      </w:tr>
      <w:tr>
        <w:tc>
          <w:tcPr/>
          <w:p>
            <w:pPr>
              <w:pStyle w:val="Compact"/>
              <w:jc w:val="left"/>
            </w:pPr>
            <w:r>
              <w:t xml:space="preserve">TOTAL PRODUCT CARBON FOOTPRINT</w:t>
            </w:r>
          </w:p>
        </w:tc>
        <w:tc>
          <w:tcPr/>
          <w:p>
            <w:pPr>
              <w:pStyle w:val="Compact"/>
              <w:jc w:val="left"/>
            </w:pPr>
            <w:r>
              <w:t xml:space="preserve">52.4108</w:t>
            </w:r>
          </w:p>
        </w:tc>
        <w:tc>
          <w:tcPr/>
          <w:p>
            <w:pPr>
              <w:pStyle w:val="Compact"/>
            </w:pPr>
          </w:p>
        </w:tc>
      </w:tr>
    </w:tbl>
    <w:bookmarkEnd w:id="43"/>
    <w:bookmarkStart w:id="44" w:name="summary-by-ghg-protocol-scope"/>
    <w:p>
      <w:pPr>
        <w:pStyle w:val="Heading3"/>
      </w:pPr>
      <w:r>
        <w:t xml:space="preserve">3.2. Summary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Emissions (kg CO2e per unit)</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0.00 (Assumed negligible)</w:t>
            </w:r>
          </w:p>
        </w:tc>
        <w:tc>
          <w:tcPr/>
          <w:p>
            <w:pPr>
              <w:pStyle w:val="Compact"/>
              <w:jc w:val="left"/>
            </w:pPr>
            <w:r>
              <w:t xml:space="preserve">0.0%</w:t>
            </w:r>
          </w:p>
        </w:tc>
      </w:tr>
      <w:tr>
        <w:tc>
          <w:tcPr/>
          <w:p>
            <w:pPr>
              <w:pStyle w:val="Compact"/>
              <w:jc w:val="left"/>
            </w:pPr>
            <w:r>
              <w:t xml:space="preserve">Scope 2 (Energy Indirect - Purchased Electricity)</w:t>
            </w:r>
          </w:p>
        </w:tc>
        <w:tc>
          <w:tcPr/>
          <w:p>
            <w:pPr>
              <w:pStyle w:val="Compact"/>
              <w:jc w:val="left"/>
            </w:pPr>
            <w:r>
              <w:t xml:space="preserve">5.2200</w:t>
            </w:r>
          </w:p>
        </w:tc>
        <w:tc>
          <w:tcPr/>
          <w:p>
            <w:pPr>
              <w:pStyle w:val="Compact"/>
              <w:jc w:val="left"/>
            </w:pPr>
            <w:r>
              <w:t xml:space="preserve">9.96%</w:t>
            </w:r>
          </w:p>
        </w:tc>
      </w:tr>
      <w:tr>
        <w:tc>
          <w:tcPr/>
          <w:p>
            <w:pPr>
              <w:pStyle w:val="Compact"/>
              <w:jc w:val="left"/>
            </w:pPr>
            <w:r>
              <w:t xml:space="preserve">Scope 3 (Other Indirect - Value Chain)</w:t>
            </w:r>
          </w:p>
        </w:tc>
        <w:tc>
          <w:tcPr/>
          <w:p>
            <w:pPr>
              <w:pStyle w:val="Compact"/>
              <w:jc w:val="left"/>
            </w:pPr>
            <w:r>
              <w:t xml:space="preserve">47.1908</w:t>
            </w:r>
          </w:p>
        </w:tc>
        <w:tc>
          <w:tcPr/>
          <w:p>
            <w:pPr>
              <w:pStyle w:val="Compact"/>
              <w:jc w:val="left"/>
            </w:pPr>
            <w:r>
              <w:t xml:space="preserve">90.04%</w:t>
            </w:r>
          </w:p>
        </w:tc>
      </w:tr>
      <w:tr>
        <w:tc>
          <w:tcPr/>
          <w:p>
            <w:pPr>
              <w:pStyle w:val="Compact"/>
              <w:jc w:val="left"/>
            </w:pPr>
            <w:r>
              <w:t xml:space="preserve">TOTAL PRODUCT CARBON FOOTPRINT</w:t>
            </w:r>
          </w:p>
        </w:tc>
        <w:tc>
          <w:tcPr/>
          <w:p>
            <w:pPr>
              <w:pStyle w:val="Compact"/>
              <w:jc w:val="left"/>
            </w:pPr>
            <w:r>
              <w:t xml:space="preserve">52.4108</w:t>
            </w:r>
          </w:p>
        </w:tc>
        <w:tc>
          <w:tcPr/>
          <w:p>
            <w:pPr>
              <w:pStyle w:val="Compact"/>
              <w:jc w:val="left"/>
            </w:pPr>
            <w:r>
              <w:t xml:space="preserve">100%</w:t>
            </w:r>
          </w:p>
        </w:tc>
      </w:tr>
    </w:tbl>
    <w:p>
      <w:pPr>
        <w:pStyle w:val="BodyText"/>
      </w:pPr>
      <w:r>
        <w:rPr>
          <w:bCs/>
          <w:b/>
        </w:rPr>
        <w:t xml:space="preserve">Scope 3 Compliance:</w:t>
      </w:r>
      <w:r>
        <w:t xml:space="preserve"> </w:t>
      </w:r>
      <w:r>
        <w:t xml:space="preserve">The analysis covers Raw Material Acquisition &amp; Production (Category 1), Upstream Transport (Category 4), Downstream Transport (Category 9), Use Phase (Category 11), and End-of-Life (Category 12). This broad coverage ensures that</w:t>
      </w:r>
      <w:r>
        <w:t xml:space="preserve"> </w:t>
      </w:r>
      <w:r>
        <w:rPr>
          <w:bCs/>
          <w:b/>
        </w:rPr>
        <w:t xml:space="preserve">at least 95% of Scope 3 emissions are reported</w:t>
      </w:r>
      <w:r>
        <w:t xml:space="preserve">, aligning with 2026 requirements. Missing categories (e.g., business travel, employee commuting) are deemed not significant for a PCF at the \'factory_gate\' boundary but would be included in a full corporate GHG inventory.</w:t>
      </w:r>
    </w:p>
    <w:bookmarkEnd w:id="44"/>
    <w:bookmarkStart w:id="45" w:name="emission-hotspots-and-reliability"/>
    <w:p>
      <w:pPr>
        <w:pStyle w:val="Heading3"/>
      </w:pPr>
      <w:r>
        <w:t xml:space="preserve">3.3. Emission Hotspots and Reliability</w:t>
      </w:r>
    </w:p>
    <w:p>
      <w:pPr>
        <w:numPr>
          <w:ilvl w:val="0"/>
          <w:numId w:val="1014"/>
        </w:numPr>
        <w:pStyle w:val="Compact"/>
      </w:pPr>
      <w:r>
        <w:rPr>
          <w:bCs/>
          <w:b/>
        </w:rPr>
        <w:t xml:space="preserve">Hotspots:</w:t>
      </w:r>
      <w:r>
        <w:t xml:space="preserve"> </w:t>
      </w:r>
      <w:r>
        <w:t xml:space="preserve">The most significant emission hotspots for \'eglyiqlvmh\' are identified in the Use Phase (36.5 kg CO2e) and Downstream Transport (Last-Mile Delivery) (10.0 kg CO2e). These two stages collectively account for approximately 88% of the total PCF, highlighting areas for targeted reduction strategies. Manufacturing (Scope 2) is also notable.</w:t>
      </w:r>
    </w:p>
    <w:p>
      <w:pPr>
        <w:numPr>
          <w:ilvl w:val="0"/>
          <w:numId w:val="1014"/>
        </w:numPr>
        <w:pStyle w:val="Compact"/>
      </w:pPr>
      <w:r>
        <w:rPr>
          <w:bCs/>
          <w:b/>
        </w:rPr>
        <w:t xml:space="preserve">Raw Materials:</w:t>
      </w:r>
      <w:r>
        <w:t xml:space="preserve"> </w:t>
      </w:r>
      <w:r>
        <w:t xml:space="preserve">While smaller than the use phase, raw material acquisition contributes significantly to the upstream footprint.</w:t>
      </w:r>
    </w:p>
    <w:p>
      <w:pPr>
        <w:numPr>
          <w:ilvl w:val="0"/>
          <w:numId w:val="1014"/>
        </w:numPr>
        <w:pStyle w:val="Compact"/>
      </w:pPr>
      <w:r>
        <w:rPr>
          <w:bCs/>
          <w:b/>
        </w:rPr>
        <w:t xml:space="preserve">Reliability:</w:t>
      </w:r>
      <w:r>
        <w:t xml:space="preserve"> </w:t>
      </w:r>
      <w:r>
        <w:t xml:space="preserve">The reliability of this report is considered moderate to high, given the adherence to the GHG Protocol and the systematic application of lifecycle assessment principles. However, the use of assumed numerical values for several generic parameters (e.g., transport distances, energy consumption, renewable energy mix) introduces a degree of uncertainty. For future, more precise analyses, primary data collection for these specific parameters from \'sujiwitjoe\' and its supply chain is strongly recommended. The direct use of \'Total Carbon\' from the BOM (\'twdiusvp\') for materials increases accuracy for that specific component of the footprint.</w:t>
      </w:r>
    </w:p>
    <w:bookmarkEnd w:id="45"/>
    <w:bookmarkStart w:id="48" w:name="recommendations-for-emission-reduction"/>
    <w:p>
      <w:pPr>
        <w:pStyle w:val="Heading3"/>
      </w:pPr>
      <w:r>
        <w:t xml:space="preserve">3.4. Recommendations for Emission Reduction</w:t>
      </w:r>
    </w:p>
    <w:p>
      <w:pPr>
        <w:numPr>
          <w:ilvl w:val="0"/>
          <w:numId w:val="1015"/>
        </w:numPr>
        <w:pStyle w:val="Compact"/>
      </w:pPr>
      <w:r>
        <w:rPr>
          <w:bCs/>
          <w:b/>
        </w:rPr>
        <w:t xml:space="preserve">Optimize Use Phase:</w:t>
      </w:r>
      <w:r>
        <w:t xml:space="preserve"> </w:t>
      </w:r>
      <w:r>
        <w:t xml:space="preserve">Investigate opportunities to reduce the product\'s energy consumption during its use. This could involve design changes for greater energy efficiency, promoting sustainable usage patterns, or extending product lifespan.</w:t>
      </w:r>
    </w:p>
    <w:p>
      <w:pPr>
        <w:numPr>
          <w:ilvl w:val="0"/>
          <w:numId w:val="1015"/>
        </w:numPr>
        <w:pStyle w:val="Compact"/>
      </w:pPr>
      <w:r>
        <w:rPr>
          <w:bCs/>
          <w:b/>
        </w:rPr>
        <w:t xml:space="preserve">Streamline Last-Mile Delivery:</w:t>
      </w:r>
      <w:r>
        <w:t xml:space="preserve"> </w:t>
      </w:r>
      <w:r>
        <w:t xml:space="preserve">Explore more efficient or lower-carbon last-mile delivery options, such as electric vehicles, optimized routing, or consolidation of shipments.</w:t>
      </w:r>
    </w:p>
    <w:p>
      <w:pPr>
        <w:numPr>
          <w:ilvl w:val="0"/>
          <w:numId w:val="1015"/>
        </w:numPr>
        <w:pStyle w:val="Compact"/>
      </w:pPr>
      <w:r>
        <w:rPr>
          <w:bCs/>
          <w:b/>
        </w:rPr>
        <w:t xml:space="preserve">Enhance Circularity:</w:t>
      </w:r>
      <w:r>
        <w:t xml:space="preserve"> </w:t>
      </w:r>
      <w:r>
        <w:t xml:space="preserve">Further develop and promote the \'zdfqhvrgxf\' take-back program to maximize material recovery and reuse, reducing reliance on virgin materials and minimizing waste to landfill.</w:t>
      </w:r>
    </w:p>
    <w:p>
      <w:pPr>
        <w:numPr>
          <w:ilvl w:val="0"/>
          <w:numId w:val="1015"/>
        </w:numPr>
        <w:pStyle w:val="Compact"/>
      </w:pPr>
      <w:r>
        <w:rPr>
          <w:bCs/>
          <w:b/>
        </w:rPr>
        <w:t xml:space="preserve">Renewable Energy Sourcing:</w:t>
      </w:r>
      <w:r>
        <w:t xml:space="preserve"> </w:t>
      </w:r>
      <w:r>
        <w:t xml:space="preserve">Increase the percentage of renewable energy used in the manufacturing facilities beyond the assumed 40% to further reduce Scope 2 emissions.</w:t>
      </w:r>
    </w:p>
    <w:p>
      <w:pPr>
        <w:numPr>
          <w:ilvl w:val="0"/>
          <w:numId w:val="1015"/>
        </w:numPr>
        <w:pStyle w:val="Compact"/>
      </w:pPr>
      <w:r>
        <w:rPr>
          <w:bCs/>
          <w:b/>
        </w:rPr>
        <w:t xml:space="preserve">Supplier Engagement:</w:t>
      </w:r>
      <w:r>
        <w:t xml:space="preserve"> </w:t>
      </w:r>
      <w:r>
        <w:t xml:space="preserve">Work with material suppliers to identify and procure lower-carbon alternatives or support their efforts in reducing manufacturing emissions.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6" w:name="page-num"/>
      <w:bookmarkEnd w:id="46"/>
      <w:r>
        <w:t xml:space="preserve"> </w:t>
      </w:r>
      <w:r>
        <w:t xml:space="preserve">of</w:t>
      </w:r>
      <w:r>
        <w:t xml:space="preserve"> </w:t>
      </w:r>
      <w:bookmarkStart w:id="47" w:name="page-count"/>
      <w:bookmarkEnd w:id="47"/>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eglyiqlvmh</dc:title>
  <dc:creator/>
  <dc:description>Detailed Product Carbon Footprint (PCF) analysis report for eglyiqlvmh by sujiwitjoe, adhering to GHG Protocol and 2026 LSR Update requirements.</dc:description>
  <dc:language>en</dc:language>
  <cp:keywords/>
  <dcterms:created xsi:type="dcterms:W3CDTF">2026-07-15T01:34:58Z</dcterms:created>
  <dcterms:modified xsi:type="dcterms:W3CDTF">2026-07-15T01:34:58Z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