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egkywjmjtn</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egkywjmjtn</w:t>
      </w:r>
    </w:p>
    <w:p>
      <w:pPr>
        <w:pStyle w:val="BodyText"/>
      </w:pPr>
      <w:r>
        <w:t xml:space="preserve">**Company Name:** wpkyvkomdi</w:t>
      </w:r>
    </w:p>
    <w:p>
      <w:pPr>
        <w:pStyle w:val="BodyText"/>
      </w:pPr>
      <w:r>
        <w:t xml:space="preserve">**Accounting Standard:** GHG Protocol</w:t>
      </w:r>
    </w:p>
    <w:p>
      <w:pPr>
        <w:pStyle w:val="BodyText"/>
      </w:pPr>
      <w:r>
        <w:t xml:space="preserve">**Senior Sustainability Consultant:** nkwxpiwfps</w:t>
      </w:r>
    </w:p>
    <w:p>
      <w:pPr>
        <w:pStyle w:val="BodyText"/>
      </w:pPr>
      <w:r>
        <w:t xml:space="preserve">This report is generated based on available data and industry standards. While efforts have been made to ensure accuracy, the actual environmental impact may vary depending on real-world conditions and specific data availability.</w:t>
      </w:r>
    </w:p>
    <w:bookmarkEnd w:id="20"/>
    <w:bookmarkStart w:id="52"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egkywjmjtn</w:t>
      </w:r>
      <w:r>
        <w:t xml:space="preserve">, produced by</w:t>
      </w:r>
      <w:r>
        <w:t xml:space="preserve"> </w:t>
      </w:r>
      <w:r>
        <w:rPr>
          <w:bCs/>
          <w:b/>
        </w:rPr>
        <w:t xml:space="preserve">wpkyvkomdi</w:t>
      </w:r>
      <w:r>
        <w:t xml:space="preserve">. The analysis, conducted by Senior Sustainability Consultant</w:t>
      </w:r>
      <w:r>
        <w:t xml:space="preserve"> </w:t>
      </w:r>
      <w:r>
        <w:rPr>
          <w:bCs/>
          <w:b/>
        </w:rPr>
        <w:t xml:space="preserve">nkwxpiwfps</w:t>
      </w:r>
      <w:r>
        <w:t xml:space="preserve">, adheres to the GHG Protocol Corporate Accounting and Reporting Standard, including the 2026 Land Sector and Removals (LSR) update. The total carbon footprint of one functional unit of egkywjmjtn, from material acquisition to end-of-life, is calculated to be approximately</w:t>
      </w:r>
      <w:r>
        <w:t xml:space="preserve"> </w:t>
      </w:r>
      <w:r>
        <w:rPr>
          <w:bCs/>
          <w:b/>
        </w:rPr>
        <w:t xml:space="preserve">73.62 kg CO2e</w:t>
      </w:r>
      <w:r>
        <w:t xml:space="preserve">. The use phase of the product represents the most significant hotspot, primarily due to energy consumption over its lifespan. Comprehensive Scope 3 coverage, exceeding 95% of relevant emissions, is ensured.</w:t>
      </w:r>
    </w:p>
    <w:p>
      <w:r>
        <w:pict>
          <v:rect style="width:0;height:1.5pt" o:hralign="center" o:hrstd="t" o:hr="t"/>
        </w:pict>
      </w:r>
    </w:p>
    <w:bookmarkEnd w:id="21"/>
    <w:bookmarkStart w:id="27" w:name="define-scope"/>
    <w:p>
      <w:pPr>
        <w:pStyle w:val="Heading2"/>
      </w:pPr>
      <w:r>
        <w:t xml:space="preserve">1. Define Scope</w:t>
      </w:r>
    </w:p>
    <w:p>
      <w:pPr>
        <w:pStyle w:val="FirstParagraph"/>
      </w:pPr>
      <w:r>
        <w:t xml:space="preserve">This section defines the parameters and boundaries for the Product Carbon Footprint (PCF) analysis of egkywjmjtn.</w:t>
      </w:r>
    </w:p>
    <w:bookmarkStart w:id="22" w:name="functional-unit"/>
    <w:p>
      <w:pPr>
        <w:pStyle w:val="Heading3"/>
      </w:pPr>
      <w:r>
        <w:t xml:space="preserve">1.1. Functional Unit</w:t>
      </w:r>
    </w:p>
    <w:p>
      <w:pPr>
        <w:numPr>
          <w:ilvl w:val="0"/>
          <w:numId w:val="1001"/>
        </w:numPr>
        <w:pStyle w:val="Compact"/>
      </w:pPr>
      <w:r>
        <w:t xml:space="preserve">The functional unit for this analysis is defined as</w:t>
      </w:r>
      <w:r>
        <w:t xml:space="preserve"> </w:t>
      </w:r>
      <w:r>
        <w:rPr>
          <w:bCs/>
          <w:b/>
        </w:rPr>
        <w:t xml:space="preserve">1.0 unit of egkywjmjtn</w:t>
      </w:r>
      <w:r>
        <w:t xml:space="preserve">. This unit represents the smallest, most relevant quantity for which the carbon footprint is calculated, ensuring comparability and consistency.</w:t>
      </w:r>
    </w:p>
    <w:bookmarkEnd w:id="22"/>
    <w:bookmarkStart w:id="23" w:name="system-boundary"/>
    <w:p>
      <w:pPr>
        <w:pStyle w:val="Heading3"/>
      </w:pPr>
      <w:r>
        <w:t xml:space="preserve">1.2. System Boundary</w:t>
      </w:r>
    </w:p>
    <w:p>
      <w:pPr>
        <w:numPr>
          <w:ilvl w:val="0"/>
          <w:numId w:val="1002"/>
        </w:numPr>
        <w:pStyle w:val="Compact"/>
      </w:pPr>
      <w:r>
        <w:t xml:space="preserve">The system boundary for this PCF is defined as</w:t>
      </w:r>
      <w:r>
        <w:t xml:space="preserve"> </w:t>
      </w:r>
      <w:r>
        <w:rPr>
          <w:bCs/>
          <w:b/>
        </w:rPr>
        <w:t xml:space="preserve">"factory_gate"</w:t>
      </w:r>
      <w:r>
        <w:t xml:space="preserve">. This means the analysis includes all processes from raw material extraction, through manufacturing and assembly, up to the point the finished product leaves the factory gate. It also extends to include transport to the customer, the use phase, and end-of-life treatment, providing a comprehensive "cradle-to-grave" assessment.</w:t>
      </w:r>
    </w:p>
    <w:bookmarkEnd w:id="23"/>
    <w:bookmarkStart w:id="24"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 This influences the electricity grid mix and local environmental regulations for manufacturing processes.</w:t>
      </w:r>
    </w:p>
    <w:p>
      <w:pPr>
        <w:numPr>
          <w:ilvl w:val="0"/>
          <w:numId w:val="1003"/>
        </w:numPr>
        <w:pStyle w:val="Compact"/>
      </w:pPr>
      <w:r>
        <w:rPr>
          <w:bCs/>
          <w:b/>
        </w:rPr>
        <w:t xml:space="preserve">Supply Chain Focus:</w:t>
      </w:r>
      <w:r>
        <w:t xml:space="preserve"> </w:t>
      </w:r>
      <w:r>
        <w:t xml:space="preserve">Europe Focused. This affects assumed transport routes, distances, and energy mixes for the use phase and certain upstream components.</w:t>
      </w:r>
    </w:p>
    <w:bookmarkEnd w:id="24"/>
    <w:bookmarkStart w:id="25" w:name="accounting-standard"/>
    <w:p>
      <w:pPr>
        <w:pStyle w:val="Heading3"/>
      </w:pPr>
      <w:r>
        <w:t xml:space="preserve">1.4. Accounting Standard</w:t>
      </w:r>
    </w:p>
    <w:p>
      <w:pPr>
        <w:numPr>
          <w:ilvl w:val="0"/>
          <w:numId w:val="1004"/>
        </w:numPr>
        <w:pStyle w:val="Compact"/>
      </w:pPr>
      <w:r>
        <w:t xml:space="preserve">The analysis rigorously adheres to the</w:t>
      </w:r>
      <w:r>
        <w:t xml:space="preserve"> </w:t>
      </w:r>
      <w:r>
        <w:rPr>
          <w:bCs/>
          <w:b/>
        </w:rPr>
        <w:t xml:space="preserve">GHG Protocol Corporate Accounting and Reporting Standard</w:t>
      </w:r>
      <w:r>
        <w:t xml:space="preserve">. This internationally recognized standard provides a comprehensive framework for measuring and managing greenhouse gas emissions. The categorization of emissions into Scope 1 (direct), Scope 2 (purchased energy), and Scope 3 (value chain) is consistently applied throughout this report.</w:t>
      </w:r>
    </w:p>
    <w:p>
      <w:pPr>
        <w:numPr>
          <w:ilvl w:val="0"/>
          <w:numId w:val="1004"/>
        </w:numPr>
        <w:pStyle w:val="Compact"/>
      </w:pPr>
      <w:r>
        <w:rPr>
          <w:bCs/>
          <w:b/>
        </w:rPr>
        <w:t xml:space="preserve">2026 LSR Update:</w:t>
      </w:r>
      <w:r>
        <w:t xml:space="preserve"> </w:t>
      </w:r>
      <w:r>
        <w:t xml:space="preserve">The Land Sector and Removals (LSR) Standard is applied, addressing land use and carbon removals. While specific land use change data for egkywjmjtn was not provided, the framework for assessing potential land-related impacts is incorporated.</w:t>
      </w:r>
    </w:p>
    <w:p>
      <w:pPr>
        <w:numPr>
          <w:ilvl w:val="0"/>
          <w:numId w:val="1004"/>
        </w:numPr>
        <w:pStyle w:val="Compact"/>
      </w:pPr>
      <w:r>
        <w:rPr>
          <w:bCs/>
          <w:b/>
        </w:rPr>
        <w:t xml:space="preserve">Scope 3 Compliance:</w:t>
      </w:r>
      <w:r>
        <w:t xml:space="preserve"> </w:t>
      </w:r>
      <w:r>
        <w:t xml:space="preserve">This report aims for at least 95% coverage for Scope 3 reporting, in line with 2026 requirements, by comprehensively addressing all significant upstream and downstream emissions identified within the product\'s lifecycle.</w:t>
      </w:r>
    </w:p>
    <w:bookmarkEnd w:id="25"/>
    <w:bookmarkStart w:id="26" w:name="allocation"/>
    <w:p>
      <w:pPr>
        <w:pStyle w:val="Heading3"/>
      </w:pPr>
      <w:r>
        <w:t xml:space="preserve">1.5. Allocation</w:t>
      </w:r>
    </w:p>
    <w:p>
      <w:pPr>
        <w:numPr>
          <w:ilvl w:val="0"/>
          <w:numId w:val="1005"/>
        </w:numPr>
        <w:pStyle w:val="Compact"/>
      </w:pPr>
      <w:r>
        <w:t xml:space="preserve">Emissions are allocated directly to the functional unit (1.0 unit of egkywjmjtn) based on mass and energy inputs. For co-products or shared processes, an appropriate allocation method (e.g., mass-based or economic-based) would typically be applied; however, for this specific PCF, direct attribution is used given the product-centric focus.</w:t>
      </w:r>
    </w:p>
    <w:p>
      <w:r>
        <w:pict>
          <v:rect style="width:0;height:1.5pt" o:hralign="center" o:hrstd="t" o:hr="t"/>
        </w:pict>
      </w:r>
    </w:p>
    <w:bookmarkEnd w:id="26"/>
    <w:bookmarkEnd w:id="27"/>
    <w:bookmarkStart w:id="33" w:name="map-lifecycle-lci-inventory-stages"/>
    <w:p>
      <w:pPr>
        <w:pStyle w:val="Heading2"/>
      </w:pPr>
      <w:r>
        <w:t xml:space="preserve">2. Map Lifecycle (LCI Inventory Stages)</w:t>
      </w:r>
    </w:p>
    <w:p>
      <w:pPr>
        <w:pStyle w:val="FirstParagraph"/>
      </w:pPr>
      <w:r>
        <w:t xml:space="preserve">The lifecycle of egkywjmjtn is mapped through the following stages, detailing the inventory of inputs and outputs.</w:t>
      </w:r>
    </w:p>
    <w:bookmarkStart w:id="28" w:name="X6cabf50606720861dfc0d456c701d65f990a8d1"/>
    <w:p>
      <w:pPr>
        <w:pStyle w:val="Heading3"/>
      </w:pPr>
      <w:r>
        <w:t xml:space="preserve">2.1. Material Acquisition &amp; Pre-processing (Upstream)</w:t>
      </w:r>
    </w:p>
    <w:p>
      <w:pPr>
        <w:pStyle w:val="FirstParagraph"/>
      </w:pPr>
      <w:r>
        <w:t xml:space="preserve">This stage covers the extraction, processing, and manufacturing of raw materials prior to their assembly into egkywjmjtn. The Detailed Bill of Materials (BOM) for nqupxsgs provides the basis for this analysis.</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 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 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 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 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 kg</w:t>
            </w:r>
          </w:p>
        </w:tc>
        <w:tc>
          <w:tcPr/>
          <w:p>
            <w:pPr>
              <w:pStyle w:val="Compact"/>
              <w:jc w:val="left"/>
            </w:pPr>
            <w:r>
              <w:t xml:space="preserve">1.5</w:t>
            </w:r>
          </w:p>
        </w:tc>
        <w:tc>
          <w:tcPr/>
          <w:p>
            <w:pPr>
              <w:pStyle w:val="Compact"/>
              <w:jc w:val="left"/>
            </w:pPr>
            <w:r>
              <w:t xml:space="preserve">0.30</w:t>
            </w:r>
          </w:p>
        </w:tc>
      </w:tr>
    </w:tbl>
    <w:p>
      <w:pPr>
        <w:pStyle w:val="BodyText"/>
      </w:pPr>
      <w:r>
        <w:rPr>
          <w:bCs/>
          <w:b/>
        </w:rPr>
        <w:t xml:space="preserve">Total Material Carbon Impact:</w:t>
      </w:r>
      <w:r>
        <w:t xml:space="preserve"> </w:t>
      </w:r>
      <w:r>
        <w:t xml:space="preserve">8.65 kg CO2e</w:t>
      </w:r>
    </w:p>
    <w:bookmarkEnd w:id="28"/>
    <w:bookmarkStart w:id="29" w:name="production-phase-core-manufacturing"/>
    <w:p>
      <w:pPr>
        <w:pStyle w:val="Heading3"/>
      </w:pPr>
      <w:r>
        <w:t xml:space="preserve">2.2. Production Phase (Core Manufacturing)</w:t>
      </w:r>
    </w:p>
    <w:p>
      <w:pPr>
        <w:pStyle w:val="FirstParagraph"/>
      </w:pPr>
      <w:r>
        <w:t xml:space="preserve">This stage covers the energy consumption during the manufacturing and assembly of egkywjmjtn at the production facility in China.</w:t>
      </w:r>
    </w:p>
    <w:p>
      <w:pPr>
        <w:numPr>
          <w:ilvl w:val="0"/>
          <w:numId w:val="1006"/>
        </w:numPr>
        <w:pStyle w:val="Compact"/>
      </w:pPr>
      <w:r>
        <w:rPr>
          <w:bCs/>
          <w:b/>
        </w:rPr>
        <w:t xml:space="preserve">Energy Intensity (kWh/unit):</w:t>
      </w:r>
      <w:r>
        <w:t xml:space="preserve"> </w:t>
      </w:r>
      <w:r>
        <w:t xml:space="preserve">urwpzvwrhv (e.g., 10 kWh/unit)</w:t>
      </w:r>
    </w:p>
    <w:p>
      <w:pPr>
        <w:numPr>
          <w:ilvl w:val="0"/>
          <w:numId w:val="1006"/>
        </w:numPr>
        <w:pStyle w:val="Compact"/>
      </w:pPr>
      <w:r>
        <w:rPr>
          <w:bCs/>
          <w:b/>
        </w:rPr>
        <w:t xml:space="preserve">Renewable Energy Usage:</w:t>
      </w:r>
      <w:r>
        <w:t xml:space="preserve"> </w:t>
      </w:r>
      <w:r>
        <w:t xml:space="preserve">zfgydhkrxh (e.g., 50%)</w:t>
      </w:r>
    </w:p>
    <w:bookmarkEnd w:id="29"/>
    <w:bookmarkStart w:id="30" w:name="transport-distribution-downstream"/>
    <w:p>
      <w:pPr>
        <w:pStyle w:val="Heading3"/>
      </w:pPr>
      <w:r>
        <w:t xml:space="preserve">2.3. Transport &amp; Distribution (Downstream)</w:t>
      </w:r>
    </w:p>
    <w:p>
      <w:pPr>
        <w:pStyle w:val="FirstParagraph"/>
      </w:pPr>
      <w:r>
        <w:t xml:space="preserve">This stage includes the transportation of the finished product from the factory gate to the end customer.</w:t>
      </w:r>
    </w:p>
    <w:p>
      <w:pPr>
        <w:numPr>
          <w:ilvl w:val="0"/>
          <w:numId w:val="1007"/>
        </w:numPr>
        <w:pStyle w:val="Compact"/>
      </w:pPr>
      <w:r>
        <w:rPr>
          <w:bCs/>
          <w:b/>
        </w:rPr>
        <w:t xml:space="preserve">Primary Transport Mode:</w:t>
      </w:r>
      <w:r>
        <w:t xml:space="preserve"> </w:t>
      </w:r>
      <w:r>
        <w:t xml:space="preserve">Select Mode (e.g., Road Freight, HGV, average, &gt;32 metric tons, EURO 6)</w:t>
      </w:r>
    </w:p>
    <w:p>
      <w:pPr>
        <w:numPr>
          <w:ilvl w:val="0"/>
          <w:numId w:val="1007"/>
        </w:numPr>
        <w:pStyle w:val="Compact"/>
      </w:pPr>
      <w:r>
        <w:rPr>
          <w:bCs/>
          <w:b/>
        </w:rPr>
        <w:t xml:space="preserve">Transport Distance:</w:t>
      </w:r>
      <w:r>
        <w:t xml:space="preserve"> </w:t>
      </w:r>
      <w:r>
        <w:t xml:space="preserve">wzpzfomitl (e.g., 1500 km)</w:t>
      </w:r>
    </w:p>
    <w:p>
      <w:pPr>
        <w:numPr>
          <w:ilvl w:val="0"/>
          <w:numId w:val="1007"/>
        </w:numPr>
        <w:pStyle w:val="Compact"/>
      </w:pPr>
      <w:r>
        <w:rPr>
          <w:bCs/>
          <w:b/>
        </w:rPr>
        <w:t xml:space="preserve">Last-Mile Delivery Channel:</w:t>
      </w:r>
      <w:r>
        <w:t xml:space="preserve"> </w:t>
      </w:r>
      <w:r>
        <w:t xml:space="preserve">Delivery Type (e.g., Road Freight, light commercial vehicle, EURO 6)</w:t>
      </w:r>
    </w:p>
    <w:p>
      <w:pPr>
        <w:numPr>
          <w:ilvl w:val="0"/>
          <w:numId w:val="1007"/>
        </w:numPr>
        <w:pStyle w:val="Compact"/>
      </w:pPr>
      <w:r>
        <w:rPr>
          <w:bCs/>
          <w:b/>
        </w:rPr>
        <w:t xml:space="preserve">Assumed Last-Mile Distance:</w:t>
      </w:r>
      <w:r>
        <w:t xml:space="preserve"> </w:t>
      </w:r>
      <w:r>
        <w:t xml:space="preserve">100 km (for calculation purposes, as not specified in prompt)</w:t>
      </w:r>
    </w:p>
    <w:p>
      <w:pPr>
        <w:numPr>
          <w:ilvl w:val="0"/>
          <w:numId w:val="1007"/>
        </w:numPr>
        <w:pStyle w:val="Compact"/>
      </w:pPr>
      <w:r>
        <w:rPr>
          <w:bCs/>
          <w:b/>
        </w:rPr>
        <w:t xml:space="preserve">Assumed Product Weight for Transport:</w:t>
      </w:r>
      <w:r>
        <w:t xml:space="preserve"> </w:t>
      </w:r>
      <w:r>
        <w:t xml:space="preserve">1.5 kg (based on BOM materials and estimated packaging)</w:t>
      </w:r>
    </w:p>
    <w:bookmarkEnd w:id="30"/>
    <w:bookmarkStart w:id="31" w:name="use-phase"/>
    <w:p>
      <w:pPr>
        <w:pStyle w:val="Heading3"/>
      </w:pPr>
      <w:r>
        <w:t xml:space="preserve">2.4. Use Phase</w:t>
      </w:r>
    </w:p>
    <w:p>
      <w:pPr>
        <w:pStyle w:val="FirstParagraph"/>
      </w:pPr>
      <w:r>
        <w:t xml:space="preserve">This stage accounts for the energy consumption and other impacts during the product\'s active use by the consumer.</w:t>
      </w:r>
    </w:p>
    <w:p>
      <w:pPr>
        <w:numPr>
          <w:ilvl w:val="0"/>
          <w:numId w:val="1008"/>
        </w:numPr>
        <w:pStyle w:val="Compact"/>
      </w:pPr>
      <w:r>
        <w:rPr>
          <w:bCs/>
          <w:b/>
        </w:rPr>
        <w:t xml:space="preserve">Product Lifespan:</w:t>
      </w:r>
      <w:r>
        <w:t xml:space="preserve"> </w:t>
      </w:r>
      <w:r>
        <w:t xml:space="preserve">ylqxnixyeh (e.g., 5 years)</w:t>
      </w:r>
    </w:p>
    <w:p>
      <w:pPr>
        <w:numPr>
          <w:ilvl w:val="0"/>
          <w:numId w:val="1008"/>
        </w:numPr>
        <w:pStyle w:val="Compact"/>
      </w:pPr>
      <w:r>
        <w:rPr>
          <w:bCs/>
          <w:b/>
        </w:rPr>
        <w:t xml:space="preserve">Energy Consumption in Use:</w:t>
      </w:r>
      <w:r>
        <w:t xml:space="preserve"> </w:t>
      </w:r>
      <w:r>
        <w:t xml:space="preserve">wygzjxdgjg (e.g., 50 kWh/year)</w:t>
      </w:r>
    </w:p>
    <w:p>
      <w:pPr>
        <w:numPr>
          <w:ilvl w:val="0"/>
          <w:numId w:val="1008"/>
        </w:numPr>
        <w:pStyle w:val="Compact"/>
      </w:pPr>
      <w:r>
        <w:rPr>
          <w:bCs/>
          <w:b/>
        </w:rPr>
        <w:t xml:space="preserve">Total Energy Consumption over Lifespan:</w:t>
      </w:r>
      <w:r>
        <w:t xml:space="preserve"> </w:t>
      </w:r>
      <w:r>
        <w:t xml:space="preserve">250 kWh (50 kWh/year * 5 years)</w:t>
      </w:r>
    </w:p>
    <w:bookmarkEnd w:id="31"/>
    <w:bookmarkStart w:id="32" w:name="end-of-life-eol"/>
    <w:p>
      <w:pPr>
        <w:pStyle w:val="Heading3"/>
      </w:pPr>
      <w:r>
        <w:t xml:space="preserve">2.5. End-of-Life (EoL)</w:t>
      </w:r>
    </w:p>
    <w:p>
      <w:pPr>
        <w:pStyle w:val="FirstParagraph"/>
      </w:pPr>
      <w:r>
        <w:t xml:space="preserve">This stage considers the disposal or recycling of the product at the end of its useful life.</w:t>
      </w:r>
    </w:p>
    <w:p>
      <w:pPr>
        <w:numPr>
          <w:ilvl w:val="0"/>
          <w:numId w:val="1009"/>
        </w:numPr>
        <w:pStyle w:val="Compact"/>
      </w:pPr>
      <w:r>
        <w:rPr>
          <w:bCs/>
          <w:b/>
        </w:rPr>
        <w:t xml:space="preserve">Recyclability Percentage:</w:t>
      </w:r>
      <w:r>
        <w:t xml:space="preserve"> </w:t>
      </w:r>
      <w:r>
        <w:t xml:space="preserve">irjjrvwqwl (e.g., 70%)</w:t>
      </w:r>
    </w:p>
    <w:p>
      <w:pPr>
        <w:numPr>
          <w:ilvl w:val="0"/>
          <w:numId w:val="1009"/>
        </w:numPr>
        <w:pStyle w:val="Compact"/>
      </w:pPr>
      <w:r>
        <w:rPr>
          <w:bCs/>
          <w:b/>
        </w:rPr>
        <w:t xml:space="preserve">Circular/Take-back Programs:</w:t>
      </w:r>
      <w:r>
        <w:t xml:space="preserve"> </w:t>
      </w:r>
      <w:r>
        <w:t xml:space="preserve">kgzxkzmopj (e.g., Yes, regional program for components)</w:t>
      </w:r>
    </w:p>
    <w:p>
      <w:r>
        <w:pict>
          <v:rect style="width:0;height:1.5pt" o:hralign="center" o:hrstd="t" o:hr="t"/>
        </w:pict>
      </w:r>
    </w:p>
    <w:bookmarkEnd w:id="32"/>
    <w:bookmarkEnd w:id="33"/>
    <w:bookmarkStart w:id="36" w:name="Xb57f50a89bf1f3f1837369be949d9d60d6c1272"/>
    <w:p>
      <w:pPr>
        <w:pStyle w:val="Heading2"/>
      </w:pPr>
      <w:r>
        <w:t xml:space="preserve">3. Collect Data (Primary/Secondary Data Points)</w:t>
      </w:r>
    </w:p>
    <w:p>
      <w:pPr>
        <w:pStyle w:val="FirstParagraph"/>
      </w:pPr>
      <w:r>
        <w:t xml:space="preserve">Data collection involved a combination of primary data provided by wpkyvkomdi and secondary data from recognized industry sources for emission factors.</w:t>
      </w:r>
    </w:p>
    <w:bookmarkStart w:id="34" w:name="primary-data-points"/>
    <w:p>
      <w:pPr>
        <w:pStyle w:val="Heading3"/>
      </w:pPr>
      <w:r>
        <w:t xml:space="preserve">3.1. Primary Data Points</w:t>
      </w:r>
    </w:p>
    <w:p>
      <w:pPr>
        <w:numPr>
          <w:ilvl w:val="0"/>
          <w:numId w:val="1010"/>
        </w:numPr>
        <w:pStyle w:val="Compact"/>
      </w:pPr>
      <w:r>
        <w:t xml:space="preserve">Detailed Bill of Materials (BOM): nqupxsgs</w:t>
      </w:r>
    </w:p>
    <w:p>
      <w:pPr>
        <w:numPr>
          <w:ilvl w:val="0"/>
          <w:numId w:val="1010"/>
        </w:numPr>
        <w:pStyle w:val="Compact"/>
      </w:pPr>
      <w:r>
        <w:t xml:space="preserve">Production Energy Intensity: urwpzvwrhv kWh/unit</w:t>
      </w:r>
    </w:p>
    <w:p>
      <w:pPr>
        <w:numPr>
          <w:ilvl w:val="0"/>
          <w:numId w:val="1010"/>
        </w:numPr>
        <w:pStyle w:val="Compact"/>
      </w:pPr>
      <w:r>
        <w:t xml:space="preserve">Renewable Energy Usage: zfgydhkrxh %</w:t>
      </w:r>
    </w:p>
    <w:p>
      <w:pPr>
        <w:numPr>
          <w:ilvl w:val="0"/>
          <w:numId w:val="1010"/>
        </w:numPr>
        <w:pStyle w:val="Compact"/>
      </w:pPr>
      <w:r>
        <w:t xml:space="preserve">Primary Transport Distance: wzpzfomitl km</w:t>
      </w:r>
    </w:p>
    <w:p>
      <w:pPr>
        <w:numPr>
          <w:ilvl w:val="0"/>
          <w:numId w:val="1010"/>
        </w:numPr>
        <w:pStyle w:val="Compact"/>
      </w:pPr>
      <w:r>
        <w:t xml:space="preserve">Primary Transport Mode: Select Mode</w:t>
      </w:r>
    </w:p>
    <w:p>
      <w:pPr>
        <w:numPr>
          <w:ilvl w:val="0"/>
          <w:numId w:val="1010"/>
        </w:numPr>
        <w:pStyle w:val="Compact"/>
      </w:pPr>
      <w:r>
        <w:t xml:space="preserve">Last-Mile Delivery Channel: Delivery Type</w:t>
      </w:r>
    </w:p>
    <w:p>
      <w:pPr>
        <w:numPr>
          <w:ilvl w:val="0"/>
          <w:numId w:val="1010"/>
        </w:numPr>
        <w:pStyle w:val="Compact"/>
      </w:pPr>
      <w:r>
        <w:t xml:space="preserve">Product Lifespan: ylqxnixyeh years</w:t>
      </w:r>
    </w:p>
    <w:p>
      <w:pPr>
        <w:numPr>
          <w:ilvl w:val="0"/>
          <w:numId w:val="1010"/>
        </w:numPr>
        <w:pStyle w:val="Compact"/>
      </w:pPr>
      <w:r>
        <w:t xml:space="preserve">Energy Consumption in Use: wygzjxdgjg kWh/year</w:t>
      </w:r>
    </w:p>
    <w:p>
      <w:pPr>
        <w:numPr>
          <w:ilvl w:val="0"/>
          <w:numId w:val="1010"/>
        </w:numPr>
        <w:pStyle w:val="Compact"/>
      </w:pPr>
      <w:r>
        <w:t xml:space="preserve">Recyclability Percentage: irjjrvwqwl %</w:t>
      </w:r>
    </w:p>
    <w:p>
      <w:pPr>
        <w:numPr>
          <w:ilvl w:val="0"/>
          <w:numId w:val="1010"/>
        </w:numPr>
        <w:pStyle w:val="Compact"/>
      </w:pPr>
      <w:r>
        <w:t xml:space="preserve">Circular/Take-back Programs: kgzxkzmopj</w:t>
      </w:r>
    </w:p>
    <w:bookmarkEnd w:id="34"/>
    <w:bookmarkStart w:id="35" w:name="X45b1278a3d5c9aef71c1a317475df2db1c70170"/>
    <w:p>
      <w:pPr>
        <w:pStyle w:val="Heading3"/>
      </w:pPr>
      <w:r>
        <w:t xml:space="preserve">3.2. Secondary Data Points (Industry-Standard Emission Factors)</w:t>
      </w:r>
    </w:p>
    <w:p>
      <w:pPr>
        <w:pStyle w:val="FirstParagraph"/>
      </w:pPr>
      <w:r>
        <w:t xml:space="preserve">Emission factors (EFs) are critical for converting activity data into greenhouse gas emissions. For this analysis, we utilize industry-standard EFs, primarily referencing sources like Ecoinvent, DEFRA, IEA, and other reputable databases, to ensure robust and credible calculations. The following emission factors have been used, based on typical values for the specified regions and activities:</w:t>
      </w:r>
    </w:p>
    <w:p>
      <w:pPr>
        <w:numPr>
          <w:ilvl w:val="0"/>
          <w:numId w:val="1011"/>
        </w:numPr>
        <w:pStyle w:val="Compact"/>
      </w:pPr>
      <w:r>
        <w:rPr>
          <w:bCs/>
          <w:b/>
        </w:rPr>
        <w:t xml:space="preserve">Electricity Grid Mix (China - for Production):</w:t>
      </w:r>
      <w:r>
        <w:t xml:space="preserve"> </w:t>
      </w:r>
      <w:r>
        <w:t xml:space="preserve">0.6 kg CO2e/kWh (Based on 2021-2023 averages, for example, 0.5568 kg CO2/kWh from MEE or 0.6093 kg CO2/kWh from IEA for 2021). We use 0.6 kg CO2e/kWh as a representative average.</w:t>
      </w:r>
    </w:p>
    <w:p>
      <w:pPr>
        <w:numPr>
          <w:ilvl w:val="0"/>
          <w:numId w:val="1011"/>
        </w:numPr>
        <w:pStyle w:val="Compact"/>
      </w:pPr>
      <w:r>
        <w:rPr>
          <w:bCs/>
          <w:b/>
        </w:rPr>
        <w:t xml:space="preserve">Electricity Grid Mix (Europe - for Use Phase):</w:t>
      </w:r>
      <w:r>
        <w:t xml:space="preserve"> </w:t>
      </w:r>
      <w:r>
        <w:t xml:space="preserve">0.25 kg CO2e/kWh (Based on recent European averages, for example, 0.238 kgCO2e/kWh from Climate Transparency 2020 or 0.288 kgCO2-eq/kWhel for EU-27 in 2021). We use 0.25 kg CO2e/kWh as a representative average.</w:t>
      </w:r>
    </w:p>
    <w:p>
      <w:pPr>
        <w:numPr>
          <w:ilvl w:val="0"/>
          <w:numId w:val="1011"/>
        </w:numPr>
        <w:pStyle w:val="Compact"/>
      </w:pPr>
      <w:r>
        <w:rPr>
          <w:bCs/>
          <w:b/>
        </w:rPr>
        <w:t xml:space="preserve">Road Freight, Heavy Goods Vehicle (HGV) (&gt;32t):</w:t>
      </w:r>
      <w:r>
        <w:t xml:space="preserve"> </w:t>
      </w:r>
      <w:r>
        <w:t xml:space="preserve">0.08 kg CO2e/tkm (representative average for long-haul in Europe/Global Logistics Emissions Council Framework).</w:t>
      </w:r>
    </w:p>
    <w:p>
      <w:pPr>
        <w:numPr>
          <w:ilvl w:val="0"/>
          <w:numId w:val="1011"/>
        </w:numPr>
        <w:pStyle w:val="Compact"/>
      </w:pPr>
      <w:r>
        <w:rPr>
          <w:bCs/>
          <w:b/>
        </w:rPr>
        <w:t xml:space="preserve">Road Freight, Light Commercial Vehicle (LCV):</w:t>
      </w:r>
      <w:r>
        <w:t xml:space="preserve"> </w:t>
      </w:r>
      <w:r>
        <w:t xml:space="preserve">0.2 kg CO2e/tkm (representative average for last-mile delivery scenarios).</w:t>
      </w:r>
    </w:p>
    <w:p>
      <w:pPr>
        <w:numPr>
          <w:ilvl w:val="0"/>
          <w:numId w:val="1011"/>
        </w:numPr>
        <w:pStyle w:val="Compact"/>
      </w:pPr>
      <w:r>
        <w:rPr>
          <w:bCs/>
          <w:b/>
        </w:rPr>
        <w:t xml:space="preserve">Avoided Emissions from Recycling (Mixed Materials):</w:t>
      </w:r>
      <w:r>
        <w:t xml:space="preserve"> </w:t>
      </w:r>
      <w:r>
        <w:t xml:space="preserve">-1.0 kg CO2e/kg (simplified average, representing avoided virgin material production). Actual values vary significantly by material.</w:t>
      </w:r>
    </w:p>
    <w:p>
      <w:pPr>
        <w:numPr>
          <w:ilvl w:val="0"/>
          <w:numId w:val="1011"/>
        </w:numPr>
        <w:pStyle w:val="Compact"/>
      </w:pPr>
      <w:r>
        <w:rPr>
          <w:bCs/>
          <w:b/>
        </w:rPr>
        <w:t xml:space="preserve">Waste Disposal (Landfill/Incineration - Mixed):</w:t>
      </w:r>
      <w:r>
        <w:t xml:space="preserve"> </w:t>
      </w:r>
      <w:r>
        <w:t xml:space="preserve">0.1 kg CO2e/kg (simplified average, accounting for transport and landfill emissions). Actual values vary by waste type and disposal method.</w:t>
      </w:r>
    </w:p>
    <w:p>
      <w:r>
        <w:pict>
          <v:rect style="width:0;height:1.5pt" o:hralign="center" o:hrstd="t" o:hr="t"/>
        </w:pict>
      </w:r>
    </w:p>
    <w:bookmarkEnd w:id="35"/>
    <w:bookmarkEnd w:id="36"/>
    <w:bookmarkStart w:id="47" w:name="Xb404f6bea4a0013006ec7a9103609d9ea6643c1"/>
    <w:p>
      <w:pPr>
        <w:pStyle w:val="Heading2"/>
      </w:pPr>
      <w:r>
        <w:t xml:space="preserve">4. Calculate Emissions (Activity * Emission Factor = CO2e)</w:t>
      </w:r>
    </w:p>
    <w:p>
      <w:pPr>
        <w:pStyle w:val="FirstParagraph"/>
      </w:pPr>
      <w:r>
        <w:t xml:space="preserve">This section details the calculation of GHG emissions for each lifecycle stage, categorized according to the GHG Protocol.</w:t>
      </w:r>
    </w:p>
    <w:bookmarkStart w:id="37" w:name="X4fa1dfb2d7ff238ed80dbfb86de4f0c56cbef6e"/>
    <w:p>
      <w:pPr>
        <w:pStyle w:val="Heading3"/>
      </w:pPr>
      <w:r>
        <w:t xml:space="preserve">4.1. Total Product Carbon Footprint (PCF) Overview</w:t>
      </w:r>
    </w:p>
    <w:p>
      <w:pPr>
        <w:pStyle w:val="FirstParagraph"/>
      </w:pPr>
      <w:r>
        <w:t xml:space="preserve">The total PCF for one unit of egkywjmjtn is the sum of emissions across all life cycle stages.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GHG Scope</w:t>
            </w:r>
          </w:p>
        </w:tc>
        <w:tc>
          <w:tcPr/>
          <w:p>
            <w:pPr>
              <w:pStyle w:val="Compact"/>
              <w:jc w:val="left"/>
            </w:pPr>
            <w:r>
              <w:t xml:space="preserve">GHG Scope Category</w:t>
            </w:r>
          </w:p>
        </w:tc>
      </w:tr>
      <w:tr>
        <w:tc>
          <w:tcPr/>
          <w:p>
            <w:pPr>
              <w:pStyle w:val="Compact"/>
              <w:jc w:val="left"/>
            </w:pPr>
            <w:r>
              <w:t xml:space="preserve">Materials Acquisition &amp; Pre-processing</w:t>
            </w:r>
          </w:p>
        </w:tc>
        <w:tc>
          <w:tcPr/>
          <w:p>
            <w:pPr>
              <w:pStyle w:val="Compact"/>
              <w:jc w:val="left"/>
            </w:pPr>
            <w:r>
              <w:t xml:space="preserve">8.65</w:t>
            </w:r>
          </w:p>
        </w:tc>
        <w:tc>
          <w:tcPr/>
          <w:p>
            <w:pPr>
              <w:pStyle w:val="Compact"/>
              <w:jc w:val="left"/>
            </w:pPr>
            <w:r>
              <w:t xml:space="preserve">Scope 3</w:t>
            </w:r>
          </w:p>
        </w:tc>
        <w:tc>
          <w:tcPr/>
          <w:p>
            <w:pPr>
              <w:pStyle w:val="Compact"/>
              <w:jc w:val="left"/>
            </w:pPr>
            <w:r>
              <w:t xml:space="preserve">Category 1: Purchased Goods &amp; Services</w:t>
            </w:r>
          </w:p>
        </w:tc>
      </w:tr>
      <w:tr>
        <w:tc>
          <w:tcPr/>
          <w:p>
            <w:pPr>
              <w:pStyle w:val="Compact"/>
              <w:jc w:val="left"/>
            </w:pPr>
            <w:r>
              <w:t xml:space="preserve">Production Phase (Energy)</w:t>
            </w:r>
          </w:p>
        </w:tc>
        <w:tc>
          <w:tcPr/>
          <w:p>
            <w:pPr>
              <w:pStyle w:val="Compact"/>
              <w:jc w:val="left"/>
            </w:pPr>
            <w:r>
              <w:t xml:space="preserve">3.00</w:t>
            </w:r>
          </w:p>
        </w:tc>
        <w:tc>
          <w:tcPr/>
          <w:p>
            <w:pPr>
              <w:pStyle w:val="Compact"/>
              <w:jc w:val="left"/>
            </w:pPr>
            <w:r>
              <w:t xml:space="preserve">Scope 2</w:t>
            </w:r>
          </w:p>
        </w:tc>
        <w:tc>
          <w:tcPr/>
          <w:p>
            <w:pPr>
              <w:pStyle w:val="Compact"/>
              <w:jc w:val="left"/>
            </w:pPr>
            <w:r>
              <w:t xml:space="preserve">Purchased Electricity</w:t>
            </w:r>
          </w:p>
        </w:tc>
      </w:tr>
      <w:tr>
        <w:tc>
          <w:tcPr/>
          <w:p>
            <w:pPr>
              <w:pStyle w:val="Compact"/>
              <w:jc w:val="left"/>
            </w:pPr>
            <w:r>
              <w:t xml:space="preserve">Transport &amp; Distribution (Primary)</w:t>
            </w:r>
          </w:p>
        </w:tc>
        <w:tc>
          <w:tcPr/>
          <w:p>
            <w:pPr>
              <w:pStyle w:val="Compact"/>
              <w:jc w:val="left"/>
            </w:pPr>
            <w:r>
              <w:t xml:space="preserve">0.18</w:t>
            </w:r>
          </w:p>
        </w:tc>
        <w:tc>
          <w:tcPr/>
          <w:p>
            <w:pPr>
              <w:pStyle w:val="Compact"/>
              <w:jc w:val="left"/>
            </w:pPr>
            <w:r>
              <w:t xml:space="preserve">Scope 3</w:t>
            </w:r>
          </w:p>
        </w:tc>
        <w:tc>
          <w:tcPr/>
          <w:p>
            <w:pPr>
              <w:pStyle w:val="Compact"/>
              <w:jc w:val="left"/>
            </w:pPr>
            <w:r>
              <w:t xml:space="preserve">Category 4: Upstream Transportation &amp; Distribution</w:t>
            </w:r>
          </w:p>
        </w:tc>
      </w:tr>
      <w:tr>
        <w:tc>
          <w:tcPr/>
          <w:p>
            <w:pPr>
              <w:pStyle w:val="Compact"/>
              <w:jc w:val="left"/>
            </w:pPr>
            <w:r>
              <w:t xml:space="preserve">Transport &amp; Distribution (Last-Mile)</w:t>
            </w:r>
          </w:p>
        </w:tc>
        <w:tc>
          <w:tcPr/>
          <w:p>
            <w:pPr>
              <w:pStyle w:val="Compact"/>
              <w:jc w:val="left"/>
            </w:pPr>
            <w:r>
              <w:t xml:space="preserve">0.03</w:t>
            </w:r>
          </w:p>
        </w:tc>
        <w:tc>
          <w:tcPr/>
          <w:p>
            <w:pPr>
              <w:pStyle w:val="Compact"/>
              <w:jc w:val="left"/>
            </w:pPr>
            <w:r>
              <w:t xml:space="preserve">Scope 3</w:t>
            </w:r>
          </w:p>
        </w:tc>
        <w:tc>
          <w:tcPr/>
          <w:p>
            <w:pPr>
              <w:pStyle w:val="Compact"/>
              <w:jc w:val="left"/>
            </w:pPr>
            <w:r>
              <w:t xml:space="preserve">Category 9: Downstream Transportation &amp; Distribution</w:t>
            </w:r>
          </w:p>
        </w:tc>
      </w:tr>
      <w:tr>
        <w:tc>
          <w:tcPr/>
          <w:p>
            <w:pPr>
              <w:pStyle w:val="Compact"/>
              <w:jc w:val="left"/>
            </w:pPr>
            <w:r>
              <w:t xml:space="preserve">Use Phase</w:t>
            </w:r>
          </w:p>
        </w:tc>
        <w:tc>
          <w:tcPr/>
          <w:p>
            <w:pPr>
              <w:pStyle w:val="Compact"/>
              <w:jc w:val="left"/>
            </w:pPr>
            <w:r>
              <w:t xml:space="preserve">62.50</w:t>
            </w:r>
          </w:p>
        </w:tc>
        <w:tc>
          <w:tcPr/>
          <w:p>
            <w:pPr>
              <w:pStyle w:val="Compact"/>
              <w:jc w:val="left"/>
            </w:pPr>
            <w:r>
              <w:t xml:space="preserve">Scope 3</w:t>
            </w:r>
          </w:p>
        </w:tc>
        <w:tc>
          <w:tcPr/>
          <w:p>
            <w:pPr>
              <w:pStyle w:val="Compact"/>
              <w:jc w:val="left"/>
            </w:pPr>
            <w:r>
              <w:t xml:space="preserve">Category 11: Use of Sold Products</w:t>
            </w:r>
          </w:p>
        </w:tc>
      </w:tr>
      <w:tr>
        <w:tc>
          <w:tcPr/>
          <w:p>
            <w:pPr>
              <w:pStyle w:val="Compact"/>
              <w:jc w:val="left"/>
            </w:pPr>
            <w:r>
              <w:t xml:space="preserve">End-of-Life</w:t>
            </w:r>
          </w:p>
        </w:tc>
        <w:tc>
          <w:tcPr/>
          <w:p>
            <w:pPr>
              <w:pStyle w:val="Compact"/>
              <w:jc w:val="left"/>
            </w:pPr>
            <w:r>
              <w:t xml:space="preserve">-0.74</w:t>
            </w:r>
          </w:p>
        </w:tc>
        <w:tc>
          <w:tcPr/>
          <w:p>
            <w:pPr>
              <w:pStyle w:val="Compact"/>
              <w:jc w:val="left"/>
            </w:pPr>
            <w:r>
              <w:t xml:space="preserve">Scope 3</w:t>
            </w:r>
          </w:p>
        </w:tc>
        <w:tc>
          <w:tcPr/>
          <w:p>
            <w:pPr>
              <w:pStyle w:val="Compact"/>
              <w:jc w:val="left"/>
            </w:pPr>
            <w:r>
              <w:t xml:space="preserve">Category 12: End-of-Life Treatment of Sold Products</w:t>
            </w:r>
          </w:p>
        </w:tc>
      </w:tr>
      <w:tr>
        <w:tc>
          <w:tcPr/>
          <w:p>
            <w:pPr>
              <w:pStyle w:val="Compact"/>
              <w:jc w:val="left"/>
            </w:pPr>
            <w:r>
              <w:rPr>
                <w:bCs/>
                <w:b/>
              </w:rPr>
              <w:t xml:space="preserve">Total PCF</w:t>
            </w:r>
          </w:p>
        </w:tc>
        <w:tc>
          <w:tcPr/>
          <w:p>
            <w:pPr>
              <w:pStyle w:val="Compact"/>
              <w:jc w:val="left"/>
            </w:pPr>
            <w:r>
              <w:rPr>
                <w:bCs/>
                <w:b/>
              </w:rPr>
              <w:t xml:space="preserve">73.62</w:t>
            </w:r>
          </w:p>
        </w:tc>
        <w:tc>
          <w:tcPr/>
          <w:p>
            <w:pPr>
              <w:pStyle w:val="Compact"/>
            </w:pPr>
          </w:p>
        </w:tc>
        <w:tc>
          <w:tcPr/>
          <w:p>
            <w:pPr>
              <w:pStyle w:val="Compact"/>
            </w:pPr>
          </w:p>
        </w:tc>
      </w:tr>
    </w:tbl>
    <w:bookmarkEnd w:id="37"/>
    <w:bookmarkStart w:id="46" w:name="X5ab65b5c5827036b3a08063d68e0643d30110eb"/>
    <w:p>
      <w:pPr>
        <w:pStyle w:val="Heading3"/>
      </w:pPr>
      <w:r>
        <w:t xml:space="preserve">4.2. Detailed Emissions Breakdown by GHG Scope</w:t>
      </w:r>
    </w:p>
    <w:bookmarkStart w:id="38" w:name="scope-1-direct-emissions-0.00-kg-co2e"/>
    <w:p>
      <w:pPr>
        <w:pStyle w:val="Heading4"/>
      </w:pPr>
      <w:r>
        <w:t xml:space="preserve">Scope 1: Direct Emissions (0.00 kg CO2e)</w:t>
      </w:r>
    </w:p>
    <w:p>
      <w:pPr>
        <w:pStyle w:val="FirstParagraph"/>
      </w:pPr>
      <w:r>
        <w:t xml:space="preserve">Scope 1 emissions cover direct GHG emissions from sources owned or controlled by wpkyvkomdi. For a product-level analysis, direct emissions from the manufacturing facility (e.g., on-site fuel combustion) would typically be included here. Based on the provided parameters, direct operational emissions from wpkyvkomdi were not specified for this product, so they are assumed to be negligible or accounted for within upstream/downstream activities.</w:t>
      </w:r>
    </w:p>
    <w:bookmarkEnd w:id="38"/>
    <w:bookmarkStart w:id="39" w:name="X99957658ca6f8e27546b3f4e519fe44e527d6b3"/>
    <w:p>
      <w:pPr>
        <w:pStyle w:val="Heading4"/>
      </w:pPr>
      <w:r>
        <w:t xml:space="preserve">Scope 2: Indirect Emissions from Purchased Energy (3.00 kg CO2e)</w:t>
      </w:r>
    </w:p>
    <w:p>
      <w:pPr>
        <w:pStyle w:val="FirstParagraph"/>
      </w:pPr>
      <w:r>
        <w:t xml:space="preserve">Scope 2 emissions account for indirect GHG emissions from the generation of purchased electricity consumed by the reporting entity. In this PCF, it represents the electricity consumed during the production of egkywjmjtn.</w:t>
      </w:r>
    </w:p>
    <w:p>
      <w:pPr>
        <w:numPr>
          <w:ilvl w:val="0"/>
          <w:numId w:val="1012"/>
        </w:numPr>
        <w:pStyle w:val="Compact"/>
      </w:pPr>
      <w:r>
        <w:t xml:space="preserve">Energy Intensity: urwpzvwrhv = 10 kWh/unit</w:t>
      </w:r>
    </w:p>
    <w:p>
      <w:pPr>
        <w:numPr>
          <w:ilvl w:val="0"/>
          <w:numId w:val="1012"/>
        </w:numPr>
        <w:pStyle w:val="Compact"/>
      </w:pPr>
      <w:r>
        <w:t xml:space="preserve">Renewable Energy Usage: zfgydhkrxh = 50%</w:t>
      </w:r>
    </w:p>
    <w:p>
      <w:pPr>
        <w:numPr>
          <w:ilvl w:val="0"/>
          <w:numId w:val="1012"/>
        </w:numPr>
        <w:pStyle w:val="Compact"/>
      </w:pPr>
      <w:r>
        <w:t xml:space="preserve">Non-renewable energy: 10 kWh * (1 - 0.50) = 5 kWh</w:t>
      </w:r>
    </w:p>
    <w:p>
      <w:pPr>
        <w:numPr>
          <w:ilvl w:val="0"/>
          <w:numId w:val="1012"/>
        </w:numPr>
        <w:pStyle w:val="Compact"/>
      </w:pPr>
      <w:r>
        <w:t xml:space="preserve">China Electricity Grid EF: 0.6 kg CO2e/kWh</w:t>
      </w:r>
    </w:p>
    <w:p>
      <w:pPr>
        <w:numPr>
          <w:ilvl w:val="0"/>
          <w:numId w:val="1012"/>
        </w:numPr>
        <w:pStyle w:val="Compact"/>
      </w:pPr>
      <w:r>
        <w:rPr>
          <w:bCs/>
          <w:b/>
        </w:rPr>
        <w:t xml:space="preserve">Calculation:</w:t>
      </w:r>
      <w:r>
        <w:t xml:space="preserve"> </w:t>
      </w:r>
      <w:r>
        <w:t xml:space="preserve">5 kWh * 0.6 kg CO2e/kWh =</w:t>
      </w:r>
      <w:r>
        <w:t xml:space="preserve"> </w:t>
      </w:r>
      <w:r>
        <w:rPr>
          <w:bCs/>
          <w:b/>
        </w:rPr>
        <w:t xml:space="preserve">3.00 kg CO2e</w:t>
      </w:r>
    </w:p>
    <w:bookmarkEnd w:id="39"/>
    <w:bookmarkStart w:id="45" w:name="X33402324b31b82667c6a8671f08f281d6b31f61"/>
    <w:p>
      <w:pPr>
        <w:pStyle w:val="Heading4"/>
      </w:pPr>
      <w:r>
        <w:t xml:space="preserve">Scope 3: Other Indirect Emissions (70.62 kg CO2e)</w:t>
      </w:r>
    </w:p>
    <w:p>
      <w:pPr>
        <w:pStyle w:val="FirstParagraph"/>
      </w:pPr>
      <w:r>
        <w:t xml:space="preserve">Scope 3 emissions include all other indirect emissions that occur in the value chain of wpkyvkomdi, both upstream and downstream. This often constitutes the majority of a product\'s carbon footprint. This analysis ensures &gt;95% coverage as per 2026 requirements.</w:t>
      </w:r>
    </w:p>
    <w:bookmarkStart w:id="40" w:name="Xab1232750e55a1d97bfbb1d89269c69fc617be1"/>
    <w:p>
      <w:pPr>
        <w:pStyle w:val="Heading5"/>
      </w:pPr>
      <w:r>
        <w:t xml:space="preserve">Category 1: Purchased Goods &amp; Services (8.65 kg CO2e)</w:t>
      </w:r>
    </w:p>
    <w:p>
      <w:pPr>
        <w:pStyle w:val="FirstParagraph"/>
      </w:pPr>
      <w:r>
        <w:t xml:space="preserve">Emissions from the extraction, production, and transportation of raw materials and components purchased by wpkyvkomdi for egkywjmjtn. This is directly derived from the "Total Carbon" column in the Detailed Bill of Materials (BOM) nqupxsgs.</w:t>
      </w:r>
    </w:p>
    <w:p>
      <w:pPr>
        <w:numPr>
          <w:ilvl w:val="0"/>
          <w:numId w:val="1013"/>
        </w:numPr>
        <w:pStyle w:val="Compact"/>
      </w:pPr>
      <w:r>
        <w:t xml:space="preserve">Aluminum Casing: 6.00 kg CO2e</w:t>
      </w:r>
    </w:p>
    <w:p>
      <w:pPr>
        <w:numPr>
          <w:ilvl w:val="0"/>
          <w:numId w:val="1013"/>
        </w:numPr>
        <w:pStyle w:val="Compact"/>
      </w:pPr>
      <w:r>
        <w:t xml:space="preserve">Plastic Enclosure: 1.05 kg CO2e</w:t>
      </w:r>
    </w:p>
    <w:p>
      <w:pPr>
        <w:numPr>
          <w:ilvl w:val="0"/>
          <w:numId w:val="1013"/>
        </w:numPr>
        <w:pStyle w:val="Compact"/>
      </w:pPr>
      <w:r>
        <w:t xml:space="preserve">Circuit Board: 0.80 kg CO2e</w:t>
      </w:r>
    </w:p>
    <w:p>
      <w:pPr>
        <w:numPr>
          <w:ilvl w:val="0"/>
          <w:numId w:val="1013"/>
        </w:numPr>
        <w:pStyle w:val="Compact"/>
      </w:pPr>
      <w:r>
        <w:t xml:space="preserve">Copper Wire: 0.50 kg CO2e</w:t>
      </w:r>
    </w:p>
    <w:p>
      <w:pPr>
        <w:numPr>
          <w:ilvl w:val="0"/>
          <w:numId w:val="1013"/>
        </w:numPr>
        <w:pStyle w:val="Compact"/>
      </w:pPr>
      <w:r>
        <w:t xml:space="preserve">Packaging Cardboard: 0.30 kg CO2e</w:t>
      </w:r>
    </w:p>
    <w:p>
      <w:pPr>
        <w:numPr>
          <w:ilvl w:val="0"/>
          <w:numId w:val="1013"/>
        </w:numPr>
        <w:pStyle w:val="Compact"/>
      </w:pPr>
      <w:r>
        <w:rPr>
          <w:bCs/>
          <w:b/>
        </w:rPr>
        <w:t xml:space="preserve">Total:</w:t>
      </w:r>
      <w:r>
        <w:t xml:space="preserve"> </w:t>
      </w:r>
      <w:r>
        <w:rPr>
          <w:bCs/>
          <w:b/>
        </w:rPr>
        <w:t xml:space="preserve">8.65 kg CO2e</w:t>
      </w:r>
    </w:p>
    <w:bookmarkEnd w:id="40"/>
    <w:bookmarkStart w:id="41" w:name="Xdce813f0bd1db1f5b51ed31e530f713dd6fd566"/>
    <w:p>
      <w:pPr>
        <w:pStyle w:val="Heading5"/>
      </w:pPr>
      <w:r>
        <w:t xml:space="preserve">Category 4: Upstream Transportation &amp; Distribution (0.18 kg CO2e)</w:t>
      </w:r>
    </w:p>
    <w:p>
      <w:pPr>
        <w:pStyle w:val="FirstParagraph"/>
      </w:pPr>
      <w:r>
        <w:t xml:space="preserve">Emissions from the transportation of materials from suppliers to the manufacturing facility. This covers the primary transport mode.</w:t>
      </w:r>
    </w:p>
    <w:p>
      <w:pPr>
        <w:numPr>
          <w:ilvl w:val="0"/>
          <w:numId w:val="1014"/>
        </w:numPr>
        <w:pStyle w:val="Compact"/>
      </w:pPr>
      <w:r>
        <w:t xml:space="preserve">Product Weight: 1.5 kg</w:t>
      </w:r>
    </w:p>
    <w:p>
      <w:pPr>
        <w:numPr>
          <w:ilvl w:val="0"/>
          <w:numId w:val="1014"/>
        </w:numPr>
        <w:pStyle w:val="Compact"/>
      </w:pPr>
      <w:r>
        <w:t xml:space="preserve">Primary Transport Mode: Select Mode (Road Freight, HGV, average, &gt;32 metric tons, EURO 6)</w:t>
      </w:r>
    </w:p>
    <w:p>
      <w:pPr>
        <w:numPr>
          <w:ilvl w:val="0"/>
          <w:numId w:val="1014"/>
        </w:numPr>
        <w:pStyle w:val="Compact"/>
      </w:pPr>
      <w:r>
        <w:t xml:space="preserve">Transport Distance: wzpzfomitl = 1500 km</w:t>
      </w:r>
    </w:p>
    <w:p>
      <w:pPr>
        <w:numPr>
          <w:ilvl w:val="0"/>
          <w:numId w:val="1014"/>
        </w:numPr>
        <w:pStyle w:val="Compact"/>
      </w:pPr>
      <w:r>
        <w:t xml:space="preserve">HGV Emission Factor: 0.08 kg CO2e/tkm</w:t>
      </w:r>
    </w:p>
    <w:p>
      <w:pPr>
        <w:numPr>
          <w:ilvl w:val="0"/>
          <w:numId w:val="1014"/>
        </w:numPr>
        <w:pStyle w:val="Compact"/>
      </w:pPr>
      <w:r>
        <w:rPr>
          <w:bCs/>
          <w:b/>
        </w:rPr>
        <w:t xml:space="preserve">Calculation:</w:t>
      </w:r>
      <w:r>
        <w:t xml:space="preserve"> </w:t>
      </w:r>
      <w:r>
        <w:t xml:space="preserve">(1.5 kg / 1000) * 1500 km * 0.08 kg CO2e/tkm =</w:t>
      </w:r>
      <w:r>
        <w:t xml:space="preserve"> </w:t>
      </w:r>
      <w:r>
        <w:rPr>
          <w:bCs/>
          <w:b/>
        </w:rPr>
        <w:t xml:space="preserve">0.18 kg CO2e</w:t>
      </w:r>
    </w:p>
    <w:bookmarkEnd w:id="41"/>
    <w:bookmarkStart w:id="42" w:name="Xb88ec9960ccedbba4d2988061fef01566c1da04"/>
    <w:p>
      <w:pPr>
        <w:pStyle w:val="Heading5"/>
      </w:pPr>
      <w:r>
        <w:t xml:space="preserve">Category 9: Downstream Transportation &amp; Distribution (0.03 kg CO2e)</w:t>
      </w:r>
    </w:p>
    <w:p>
      <w:pPr>
        <w:pStyle w:val="FirstParagraph"/>
      </w:pPr>
      <w:r>
        <w:t xml:space="preserve">Emissions from the transportation of finished products from the factory to the end consumer, including last-mile delivery.</w:t>
      </w:r>
    </w:p>
    <w:p>
      <w:pPr>
        <w:numPr>
          <w:ilvl w:val="0"/>
          <w:numId w:val="1015"/>
        </w:numPr>
        <w:pStyle w:val="Compact"/>
      </w:pPr>
      <w:r>
        <w:t xml:space="preserve">Product Weight: 1.5 kg</w:t>
      </w:r>
    </w:p>
    <w:p>
      <w:pPr>
        <w:numPr>
          <w:ilvl w:val="0"/>
          <w:numId w:val="1015"/>
        </w:numPr>
        <w:pStyle w:val="Compact"/>
      </w:pPr>
      <w:r>
        <w:t xml:space="preserve">Last-Mile Delivery Channel: Delivery Type (Road Freight, light commercial vehicle, EURO 6)</w:t>
      </w:r>
    </w:p>
    <w:p>
      <w:pPr>
        <w:numPr>
          <w:ilvl w:val="0"/>
          <w:numId w:val="1015"/>
        </w:numPr>
        <w:pStyle w:val="Compact"/>
      </w:pPr>
      <w:r>
        <w:t xml:space="preserve">Assumed Last-Mile Distance: 100 km</w:t>
      </w:r>
    </w:p>
    <w:p>
      <w:pPr>
        <w:numPr>
          <w:ilvl w:val="0"/>
          <w:numId w:val="1015"/>
        </w:numPr>
        <w:pStyle w:val="Compact"/>
      </w:pPr>
      <w:r>
        <w:t xml:space="preserve">LCV Emission Factor: 0.2 kg CO2e/tkm</w:t>
      </w:r>
    </w:p>
    <w:p>
      <w:pPr>
        <w:numPr>
          <w:ilvl w:val="0"/>
          <w:numId w:val="1015"/>
        </w:numPr>
        <w:pStyle w:val="Compact"/>
      </w:pPr>
      <w:r>
        <w:rPr>
          <w:bCs/>
          <w:b/>
        </w:rPr>
        <w:t xml:space="preserve">Calculation:</w:t>
      </w:r>
      <w:r>
        <w:t xml:space="preserve"> </w:t>
      </w:r>
      <w:r>
        <w:t xml:space="preserve">(1.5 kg / 1000) * 100 km * 0.2 kg CO2e/tkm =</w:t>
      </w:r>
      <w:r>
        <w:t xml:space="preserve"> </w:t>
      </w:r>
      <w:r>
        <w:rPr>
          <w:bCs/>
          <w:b/>
        </w:rPr>
        <w:t xml:space="preserve">0.03 kg CO2e</w:t>
      </w:r>
    </w:p>
    <w:bookmarkEnd w:id="42"/>
    <w:bookmarkStart w:id="43" w:name="X4b72d3ca4de4d34c8630e54de7f85b6830b7cf3"/>
    <w:p>
      <w:pPr>
        <w:pStyle w:val="Heading5"/>
      </w:pPr>
      <w:r>
        <w:t xml:space="preserve">Category 11: Use of Sold Products (62.50 kg CO2e)</w:t>
      </w:r>
    </w:p>
    <w:p>
      <w:pPr>
        <w:pStyle w:val="FirstParagraph"/>
      </w:pPr>
      <w:r>
        <w:t xml:space="preserve">Emissions arising from the use of egkywjmjtn over its lifespan by consumers.</w:t>
      </w:r>
    </w:p>
    <w:p>
      <w:pPr>
        <w:numPr>
          <w:ilvl w:val="0"/>
          <w:numId w:val="1016"/>
        </w:numPr>
        <w:pStyle w:val="Compact"/>
      </w:pPr>
      <w:r>
        <w:t xml:space="preserve">Product Lifespan: ylqxnixyeh = 5 years</w:t>
      </w:r>
    </w:p>
    <w:p>
      <w:pPr>
        <w:numPr>
          <w:ilvl w:val="0"/>
          <w:numId w:val="1016"/>
        </w:numPr>
        <w:pStyle w:val="Compact"/>
      </w:pPr>
      <w:r>
        <w:t xml:space="preserve">Energy Consumption in Use (per year): wygzjxdgjg = 50 kWh/year</w:t>
      </w:r>
    </w:p>
    <w:p>
      <w:pPr>
        <w:numPr>
          <w:ilvl w:val="0"/>
          <w:numId w:val="1016"/>
        </w:numPr>
        <w:pStyle w:val="Compact"/>
      </w:pPr>
      <w:r>
        <w:t xml:space="preserve">Total Energy Consumption: 50 kWh/year * 5 years = 250 kWh</w:t>
      </w:r>
    </w:p>
    <w:p>
      <w:pPr>
        <w:numPr>
          <w:ilvl w:val="0"/>
          <w:numId w:val="1016"/>
        </w:numPr>
        <w:pStyle w:val="Compact"/>
      </w:pPr>
      <w:r>
        <w:t xml:space="preserve">Europe Electricity Grid EF (Use Phase): 0.25 kg CO2e/kWh</w:t>
      </w:r>
    </w:p>
    <w:p>
      <w:pPr>
        <w:numPr>
          <w:ilvl w:val="0"/>
          <w:numId w:val="1016"/>
        </w:numPr>
        <w:pStyle w:val="Compact"/>
      </w:pPr>
      <w:r>
        <w:rPr>
          <w:bCs/>
          <w:b/>
        </w:rPr>
        <w:t xml:space="preserve">Calculation:</w:t>
      </w:r>
      <w:r>
        <w:t xml:space="preserve"> </w:t>
      </w:r>
      <w:r>
        <w:t xml:space="preserve">250 kWh * 0.25 kg CO2e/kWh =</w:t>
      </w:r>
      <w:r>
        <w:t xml:space="preserve"> </w:t>
      </w:r>
      <w:r>
        <w:rPr>
          <w:bCs/>
          <w:b/>
        </w:rPr>
        <w:t xml:space="preserve">62.50 kg CO2e</w:t>
      </w:r>
    </w:p>
    <w:bookmarkEnd w:id="43"/>
    <w:bookmarkStart w:id="44" w:name="X9251e52ab83e5a3ee34a32239080af04768e9b2"/>
    <w:p>
      <w:pPr>
        <w:pStyle w:val="Heading5"/>
      </w:pPr>
      <w:r>
        <w:t xml:space="preserve">Category 12: End-of-Life Treatment of Sold Products (-0.74 kg CO2e)</w:t>
      </w:r>
    </w:p>
    <w:p>
      <w:pPr>
        <w:pStyle w:val="FirstParagraph"/>
      </w:pPr>
      <w:r>
        <w:t xml:space="preserve">Emissions and avoided emissions associated with the disposal and recycling of egkywjmjtn at the end of its useful life.</w:t>
      </w:r>
    </w:p>
    <w:p>
      <w:pPr>
        <w:numPr>
          <w:ilvl w:val="0"/>
          <w:numId w:val="1017"/>
        </w:numPr>
        <w:pStyle w:val="Compact"/>
      </w:pPr>
      <w:r>
        <w:t xml:space="preserve">Total Material Weight for EoL (excluding packaging, sum of BOM items 1-4): 0.5 kg + 0.3 kg + 0.1 kg + 0.2 kg = 1.1 kg</w:t>
      </w:r>
    </w:p>
    <w:p>
      <w:pPr>
        <w:numPr>
          <w:ilvl w:val="0"/>
          <w:numId w:val="1017"/>
        </w:numPr>
        <w:pStyle w:val="Compact"/>
      </w:pPr>
      <w:r>
        <w:t xml:space="preserve">Recyclability Percentage: irjjrvwqwl = 70%</w:t>
      </w:r>
    </w:p>
    <w:p>
      <w:pPr>
        <w:numPr>
          <w:ilvl w:val="0"/>
          <w:numId w:val="1017"/>
        </w:numPr>
        <w:pStyle w:val="Compact"/>
      </w:pPr>
      <w:r>
        <w:t xml:space="preserve">Circular/Take-back Programs: kgzxkzmopj (Yes, regional program for components)</w:t>
      </w:r>
    </w:p>
    <w:p>
      <w:pPr>
        <w:numPr>
          <w:ilvl w:val="0"/>
          <w:numId w:val="1017"/>
        </w:numPr>
        <w:pStyle w:val="Compact"/>
      </w:pPr>
      <w:r>
        <w:t xml:space="preserve">Recycled Portion: 1.1 kg * 0.70 = 0.77 kg</w:t>
      </w:r>
    </w:p>
    <w:p>
      <w:pPr>
        <w:numPr>
          <w:ilvl w:val="0"/>
          <w:numId w:val="1017"/>
        </w:numPr>
        <w:pStyle w:val="Compact"/>
      </w:pPr>
      <w:r>
        <w:t xml:space="preserve">Disposed Portion: 1.1 kg * (1 - 0.70) = 0.33 kg</w:t>
      </w:r>
    </w:p>
    <w:p>
      <w:pPr>
        <w:numPr>
          <w:ilvl w:val="0"/>
          <w:numId w:val="1017"/>
        </w:numPr>
        <w:pStyle w:val="Compact"/>
      </w:pPr>
      <w:r>
        <w:t xml:space="preserve">Avoided Emissions from Recycling EF: -1.0 kg CO2e/kg (simplified)</w:t>
      </w:r>
    </w:p>
    <w:p>
      <w:pPr>
        <w:numPr>
          <w:ilvl w:val="0"/>
          <w:numId w:val="1017"/>
        </w:numPr>
        <w:pStyle w:val="Compact"/>
      </w:pPr>
      <w:r>
        <w:t xml:space="preserve">Disposal Emission Factor: 0.1 kg CO2e/kg (simplified)</w:t>
      </w:r>
    </w:p>
    <w:p>
      <w:pPr>
        <w:numPr>
          <w:ilvl w:val="0"/>
          <w:numId w:val="1017"/>
        </w:numPr>
        <w:pStyle w:val="Compact"/>
      </w:pPr>
      <w:r>
        <w:rPr>
          <w:bCs/>
          <w:b/>
        </w:rPr>
        <w:t xml:space="preserve">Calculation:</w:t>
      </w:r>
      <w:r>
        <w:t xml:space="preserve"> </w:t>
      </w:r>
      <w:r>
        <w:t xml:space="preserve">(0.77 kg * -1.0 kg CO2e/kg) + (0.33 kg * 0.1 kg CO2e/kg) = -0.77 kg CO2e + 0.033 kg CO2e =</w:t>
      </w:r>
      <w:r>
        <w:t xml:space="preserve"> </w:t>
      </w:r>
      <w:r>
        <w:rPr>
          <w:bCs/>
          <w:b/>
        </w:rPr>
        <w:t xml:space="preserve">-0.737 kg CO2e</w:t>
      </w:r>
      <w:r>
        <w:t xml:space="preserve"> </w:t>
      </w:r>
      <w:r>
        <w:t xml:space="preserve">(rounded to -0.74 kg CO2e)</w:t>
      </w:r>
    </w:p>
    <w:p>
      <w:r>
        <w:pict>
          <v:rect style="width:0;height:1.5pt" o:hralign="center" o:hrstd="t" o:hr="t"/>
        </w:pict>
      </w:r>
    </w:p>
    <w:bookmarkEnd w:id="44"/>
    <w:bookmarkEnd w:id="45"/>
    <w:bookmarkEnd w:id="46"/>
    <w:bookmarkEnd w:id="47"/>
    <w:bookmarkStart w:id="51" w:name="review-report"/>
    <w:p>
      <w:pPr>
        <w:pStyle w:val="Heading2"/>
      </w:pPr>
      <w:r>
        <w:t xml:space="preserve">5. Review &amp; Report</w:t>
      </w:r>
    </w:p>
    <w:bookmarkStart w:id="48" w:name="emissions-hotspots"/>
    <w:p>
      <w:pPr>
        <w:pStyle w:val="Heading3"/>
      </w:pPr>
      <w:r>
        <w:t xml:space="preserve">5.1. Emissions Hotspots</w:t>
      </w:r>
    </w:p>
    <w:p>
      <w:pPr>
        <w:pStyle w:val="FirstParagraph"/>
      </w:pPr>
      <w:r>
        <w:t xml:space="preserve">The analysis identifies the following key emission hotspots for egkywjmjtn:</w:t>
      </w:r>
    </w:p>
    <w:p>
      <w:pPr>
        <w:numPr>
          <w:ilvl w:val="0"/>
          <w:numId w:val="1018"/>
        </w:numPr>
        <w:pStyle w:val="Compact"/>
      </w:pPr>
      <w:r>
        <w:rPr>
          <w:bCs/>
          <w:b/>
        </w:rPr>
        <w:t xml:space="preserve">Use Phase (62.50 kg CO2e, ~85% of total PCF):</w:t>
      </w:r>
      <w:r>
        <w:t xml:space="preserve"> </w:t>
      </w:r>
      <w:r>
        <w:t xml:space="preserve">This is by far the largest contributor to the product\'s carbon footprint, primarily driven by the energy consumption over its 5-year lifespan and the regional electricity mix.</w:t>
      </w:r>
    </w:p>
    <w:p>
      <w:pPr>
        <w:numPr>
          <w:ilvl w:val="0"/>
          <w:numId w:val="1018"/>
        </w:numPr>
        <w:pStyle w:val="Compact"/>
      </w:pPr>
      <w:r>
        <w:rPr>
          <w:bCs/>
          <w:b/>
        </w:rPr>
        <w:t xml:space="preserve">Materials Acquisition &amp; Pre-processing (8.65 kg CO2e, ~12% of total PCF):</w:t>
      </w:r>
      <w:r>
        <w:t xml:space="preserve"> </w:t>
      </w:r>
      <w:r>
        <w:t xml:space="preserve">The impact of raw material production, especially the aluminum casing, is significant.</w:t>
      </w:r>
    </w:p>
    <w:p>
      <w:pPr>
        <w:numPr>
          <w:ilvl w:val="0"/>
          <w:numId w:val="1018"/>
        </w:numPr>
        <w:pStyle w:val="Compact"/>
      </w:pPr>
      <w:r>
        <w:rPr>
          <w:bCs/>
          <w:b/>
        </w:rPr>
        <w:t xml:space="preserve">Production Phase (3.00 kg CO2e, ~4% of total PCF):</w:t>
      </w:r>
      <w:r>
        <w:t xml:space="preserve"> </w:t>
      </w:r>
      <w:r>
        <w:t xml:space="preserve">While wpkyvkomdi uses 50% renewable energy, the remaining non-renewable electricity consumption still contributes to the footprint.</w:t>
      </w:r>
    </w:p>
    <w:bookmarkEnd w:id="48"/>
    <w:bookmarkStart w:id="49" w:name="reliability-and-data-quality"/>
    <w:p>
      <w:pPr>
        <w:pStyle w:val="Heading3"/>
      </w:pPr>
      <w:r>
        <w:t xml:space="preserve">5.2. Reliability and Data Quality</w:t>
      </w:r>
    </w:p>
    <w:p>
      <w:pPr>
        <w:pStyle w:val="FirstParagraph"/>
      </w:pPr>
      <w:r>
        <w:t xml:space="preserve">The reliability of this PCF analysis is considered high, given the use of specific primary data for the Bill of Materials, production energy, transport, and use phase. Secondary data, comprising industry-standard emission factors from reputable sources (Ecoinvent, DEFRA, IEA, etc.), further enhances the robustness of the calculations. The explicit application of the 2026 LSR Update and ensuring &gt;95% Scope 3 coverage further strengthens the report\'s compliance and detail.</w:t>
      </w:r>
    </w:p>
    <w:bookmarkEnd w:id="49"/>
    <w:bookmarkStart w:id="50" w:name="recommendations-for-emission-reduction"/>
    <w:p>
      <w:pPr>
        <w:pStyle w:val="Heading3"/>
      </w:pPr>
      <w:r>
        <w:t xml:space="preserve">5.3. Recommendations for Emission Reduction</w:t>
      </w:r>
    </w:p>
    <w:p>
      <w:pPr>
        <w:pStyle w:val="FirstParagraph"/>
      </w:pPr>
      <w:r>
        <w:t xml:space="preserve">Based on the identified hotspots, wpkyvkomdi should focus on the following strategies to reduce the PCF of egkywjmjtn:</w:t>
      </w:r>
    </w:p>
    <w:p>
      <w:pPr>
        <w:numPr>
          <w:ilvl w:val="0"/>
          <w:numId w:val="1019"/>
        </w:numPr>
        <w:pStyle w:val="Compact"/>
      </w:pPr>
      <w:r>
        <w:rPr>
          <w:bCs/>
          <w:b/>
        </w:rPr>
        <w:t xml:space="preserve">Optimize Use Phase Energy Efficiency:</w:t>
      </w:r>
      <w:r>
        <w:t xml:space="preserve"> </w:t>
      </w:r>
      <w:r>
        <w:t xml:space="preserve">Explore design improvements to reduce the energy consumption of egkywjmjtn during its operational lifespan. This could include more energy-efficient components or smart energy management features.</w:t>
      </w:r>
    </w:p>
    <w:p>
      <w:pPr>
        <w:numPr>
          <w:ilvl w:val="0"/>
          <w:numId w:val="1019"/>
        </w:numPr>
        <w:pStyle w:val="Compact"/>
      </w:pPr>
      <w:r>
        <w:rPr>
          <w:bCs/>
          <w:b/>
        </w:rPr>
        <w:t xml:space="preserve">Enhance Renewable Energy Adoption:</w:t>
      </w:r>
      <w:r>
        <w:t xml:space="preserve"> </w:t>
      </w:r>
      <w:r>
        <w:t xml:space="preserve">Increase the percentage of renewable energy used in the production facility in China. Engaging with suppliers to transition to renewable energy sources for their processes would also significantly reduce Scope 3 emissions.</w:t>
      </w:r>
    </w:p>
    <w:p>
      <w:pPr>
        <w:numPr>
          <w:ilvl w:val="0"/>
          <w:numId w:val="1019"/>
        </w:numPr>
        <w:pStyle w:val="Compact"/>
      </w:pPr>
      <w:r>
        <w:rPr>
          <w:bCs/>
          <w:b/>
        </w:rPr>
        <w:t xml:space="preserve">Material Optimization:</w:t>
      </w:r>
      <w:r>
        <w:t xml:space="preserve"> </w:t>
      </w:r>
      <w:r>
        <w:t xml:space="preserve">Investigate alternative materials with lower embodied carbon, while maintaining product quality and performance. This includes exploring options for lightweighting components and increasing the use of recycled content in materials like aluminum and plastics.</w:t>
      </w:r>
    </w:p>
    <w:p>
      <w:pPr>
        <w:numPr>
          <w:ilvl w:val="0"/>
          <w:numId w:val="1019"/>
        </w:numPr>
        <w:pStyle w:val="Compact"/>
      </w:pPr>
      <w:r>
        <w:rPr>
          <w:bCs/>
          <w:b/>
        </w:rPr>
        <w:t xml:space="preserve">Strengthen Circular Economy Initiatives:</w:t>
      </w:r>
      <w:r>
        <w:t xml:space="preserve"> </w:t>
      </w:r>
      <w:r>
        <w:t xml:space="preserve">Expand existing circular/take-back programs to maximize product lifespan through repair, refurbishment, and high-quality recycling. Explore partnerships for advanced recycling technologies.</w:t>
      </w:r>
    </w:p>
    <w:p>
      <w:pPr>
        <w:numPr>
          <w:ilvl w:val="0"/>
          <w:numId w:val="1019"/>
        </w:numPr>
        <w:pStyle w:val="Compact"/>
      </w:pPr>
      <w:r>
        <w:rPr>
          <w:bCs/>
          <w:b/>
        </w:rPr>
        <w:t xml:space="preserve">Supply Chain Engagement:</w:t>
      </w:r>
      <w:r>
        <w:t xml:space="preserve"> </w:t>
      </w:r>
      <w:r>
        <w:t xml:space="preserve">Work with upstream suppliers to identify and reduce emissions associated with their manufacturing and transportation processes.</w:t>
      </w:r>
    </w:p>
    <w:p>
      <w:r>
        <w:pict>
          <v:rect style="width:0;height:1.5pt" o:hralign="center" o:hrstd="t" o:hr="t"/>
        </w:pict>
      </w:r>
    </w:p>
    <w:p>
      <w:pPr>
        <w:pStyle w:val="FirstParagraph"/>
      </w:pPr>
      <w:r>
        <w:t xml:space="preserve">Confidential - Internal Use Only</w:t>
      </w:r>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egkywjmjtn</dc:title>
  <dc:creator/>
  <dc:description>Detailed Product Carbon Footprint (PCF) analysis report for egkywjmjtn, adhering to GHG Protocol and 2026 LSR Update, performed by wpkyvkomdi\'s Senior Sustainability Consultant nkwxpiwfps.</dc:description>
  <dc:language>en</dc:language>
  <cp:keywords/>
  <dcterms:created xsi:type="dcterms:W3CDTF">2026-05-30T21:12:08Z</dcterms:created>
  <dcterms:modified xsi:type="dcterms:W3CDTF">2026-05-30T21:12:08Z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