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egjezxpgdw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egjezxpgdw</w:t>
      </w:r>
    </w:p>
    <w:p>
      <w:pPr>
        <w:pStyle w:val="BodyText"/>
      </w:pPr>
      <w:r>
        <w:rPr>
          <w:bCs/>
          <w:b/>
        </w:rPr>
        <w:t xml:space="preserve">Company:</w:t>
      </w:r>
      <w:r>
        <w:t xml:space="preserve"> </w:t>
      </w:r>
      <w:r>
        <w:t xml:space="preserve">kyoghviyms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zlhtgtovyg</w:t>
      </w:r>
    </w:p>
    <w:p>
      <w:pPr>
        <w:pStyle w:val="BodyText"/>
      </w:pPr>
      <w:r>
        <w:t xml:space="preserve">This report is generated based on available data and industry standards, providing an estimate of the product\'s carbon footprint.</w:t>
      </w:r>
    </w:p>
    <w:bookmarkEnd w:id="20"/>
    <w:p>
      <w:pPr>
        <w:pStyle w:val="BodyText"/>
      </w:pPr>
      <w:r>
        <w:t xml:space="preserve">Generated Date: May 23, 2026</w:t>
      </w:r>
    </w:p>
    <w:bookmarkStart w:id="47" w:name="Xe220decc03a6f34896745978cdb31c0cfc3b14b"/>
    <w:p>
      <w:pPr>
        <w:pStyle w:val="Heading1"/>
      </w:pPr>
      <w:r>
        <w:t xml:space="preserve">Product Carbon Footprint Analysis for egjezxpgdw</w:t>
      </w:r>
    </w:p>
    <w:p>
      <w:pPr>
        <w:pStyle w:val="FirstParagraph"/>
      </w:pPr>
      <w:r>
        <w:rPr>
          <w:bCs/>
          <w:b/>
        </w:rPr>
        <w:t xml:space="preserve">Company Name:</w:t>
      </w:r>
      <w:r>
        <w:t xml:space="preserve"> </w:t>
      </w:r>
      <w:r>
        <w:t xml:space="preserve">kyoghviyms</w:t>
      </w:r>
    </w:p>
    <w:p>
      <w:pPr>
        <w:pStyle w:val="BodyText"/>
      </w:pPr>
      <w:r>
        <w:rPr>
          <w:bCs/>
          <w:b/>
        </w:rPr>
        <w:t xml:space="preserve">Senior Sustainability Consultant:</w:t>
      </w:r>
      <w:r>
        <w:t xml:space="preserve"> </w:t>
      </w:r>
      <w:r>
        <w:t xml:space="preserve">zlhtgtovyg</w:t>
      </w:r>
    </w:p>
    <w:p>
      <w:pPr>
        <w:pStyle w:val="BodyText"/>
      </w:pPr>
      <w:r>
        <w:t xml:space="preserve">This report presents a high-detail Product Carbon Footprint (PCF) analysis for the product</w:t>
      </w:r>
      <w:r>
        <w:t xml:space="preserve"> </w:t>
      </w:r>
      <w:r>
        <w:rPr>
          <w:bCs/>
          <w:b/>
        </w:rPr>
        <w:t xml:space="preserve">egjezxpgdw</w:t>
      </w:r>
      <w:r>
        <w:t xml:space="preserve">, conducted in accordance with the Greenhouse Gas (GHG) Protocol. As zlhtgtovyg, a Senior Sustainability Consultant specializing in GHG Protocol, this analysis aims to quantify the total greenhouse gas emissions associated with the product\'s lifecycle, identify emission hotspots, and provide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cradle-to-gate (factory gate) and extended lifecycle emissions for the product egjezxpgdw. The assessment covers material acquisition, production, transportation, use phase, and end-of-life, adhering to the GHG Protocol\'s stringent requirements, including the 2026 Land Sector and Removals (LSR) Standard updates and a minimum of 95% Scope 3 coverage. The analysis reveals key emission drivers across the value chain, offering kyoghviyms a foundational understanding for strategic emission reduction initiatives and enhanced environmental transparency.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egjezxpgdw</w:t>
      </w:r>
      <w:r>
        <w:t xml:space="preserve">. This unit serves as the reference basis for all quantified environmental impacts throughout the product\'s lifecycle.</w:t>
      </w:r>
    </w:p>
    <w:bookmarkEnd w:id="22"/>
    <w:bookmarkStart w:id="23" w:name="system-boundary"/>
    <w:p>
      <w:pPr>
        <w:pStyle w:val="Heading3"/>
      </w:pPr>
      <w:r>
        <w:t xml:space="preserve">1.2 System Boundary</w:t>
      </w:r>
    </w:p>
    <w:p>
      <w:pPr>
        <w:pStyle w:val="FirstParagraph"/>
      </w:pPr>
      <w:r>
        <w:t xml:space="preserve">The system boundary for this report is primarily "factory_gate" for the initial assessment, encompassing all stages from raw material extraction to the product\'s exit from the final production facility. However, in line with comprehensive lifecycle thinking, this report also extends calculations to include the "Use Phase" and "End-of-Life" scenarios to provide a more holistic view of the product\'s total environmental impact. This extended boundary facilitates a cradle-to-grave perspective, albeit with the primary reporting focus on emissions up to the factory gate for core PCF. The assessment categorizes emissions into Scope 1, Scope 2, and Scope 3 as per the GHG Protocol.</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European market for use phase and EoL, and possibly some supply chain elements)</w:t>
      </w:r>
    </w:p>
    <w:bookmarkEnd w:id="24"/>
    <w:bookmarkStart w:id="25" w:name="allocation"/>
    <w:p>
      <w:pPr>
        <w:pStyle w:val="Heading3"/>
      </w:pPr>
      <w:r>
        <w:t xml:space="preserve">1.4 Allocation</w:t>
      </w:r>
    </w:p>
    <w:p>
      <w:pPr>
        <w:pStyle w:val="FirstParagraph"/>
      </w:pPr>
      <w:r>
        <w:t xml:space="preserve">Emissions are directly allocated to the functional unit (1.0 unit of egjezxpgdw). Co-product and waste allocation are handled by system expansion or mass allocation where appropriate, following GHG Protocol guidance.</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w:t>
      </w:r>
    </w:p>
    <w:p>
      <w:pPr>
        <w:numPr>
          <w:ilvl w:val="0"/>
          <w:numId w:val="1002"/>
        </w:numPr>
        <w:pStyle w:val="Compact"/>
      </w:pPr>
      <w:r>
        <w:rPr>
          <w:bCs/>
          <w:b/>
        </w:rPr>
        <w:t xml:space="preserve">Scope 1:</w:t>
      </w:r>
      <w:r>
        <w:t xml:space="preserve"> </w:t>
      </w:r>
      <w:r>
        <w:t xml:space="preserve">Direct emissions from sources owned or controlled by kyoghviyms (e.g., on-site manufacturing processes).</w:t>
      </w:r>
    </w:p>
    <w:p>
      <w:pPr>
        <w:numPr>
          <w:ilvl w:val="0"/>
          <w:numId w:val="1002"/>
        </w:numPr>
        <w:pStyle w:val="Compact"/>
      </w:pPr>
      <w:r>
        <w:rPr>
          <w:bCs/>
          <w:b/>
        </w:rPr>
        <w:t xml:space="preserve">Scope 2:</w:t>
      </w:r>
      <w:r>
        <w:t xml:space="preserve"> </w:t>
      </w:r>
      <w:r>
        <w:t xml:space="preserve">Indirect emissions from the generation of purchased energy (e.g., electricity, heat, steam) consumed by kyoghviyms.</w:t>
      </w:r>
    </w:p>
    <w:p>
      <w:pPr>
        <w:numPr>
          <w:ilvl w:val="0"/>
          <w:numId w:val="1002"/>
        </w:numPr>
        <w:pStyle w:val="Compact"/>
      </w:pPr>
      <w:r>
        <w:rPr>
          <w:bCs/>
          <w:b/>
        </w:rPr>
        <w:t xml:space="preserve">Scope 3:</w:t>
      </w:r>
      <w:r>
        <w:t xml:space="preserve"> </w:t>
      </w:r>
      <w:r>
        <w:t xml:space="preserve">All other indirect emissions that occur in the value chain of kyoghviyms, both upstream and downstream (e.g., material extraction, transport, use phase, end-of-life).</w:t>
      </w:r>
    </w:p>
    <w:p>
      <w:pPr>
        <w:pStyle w:val="FirstParagraph"/>
      </w:pPr>
      <w:r>
        <w:t xml:space="preserve">In adherence to the</w:t>
      </w:r>
      <w:r>
        <w:t xml:space="preserve"> </w:t>
      </w:r>
      <w:r>
        <w:rPr>
          <w:bCs/>
          <w:b/>
        </w:rPr>
        <w:t xml:space="preserve">2026 Land Sector and Removals (LSR) Standard update</w:t>
      </w:r>
      <w:r>
        <w:t xml:space="preserve">, this report acknowledges the necessity of incorporating land use and carbon removals. The LSR Standard, effective January 1, 2027, provides requirements for accounting for land sector emissions (e.g., agriculture, land use change) and CO2 removals, building upon the Corporate and Scope 3 Standards. While forest carbon accounting is excluded in this version, the standard emphasizes the reporting of land management, biogenic products, and technological CO2 removals. For egjezxpgdw, the impact of the LSR standard is primarily considered for relevant raw materials in Scope 3 categories, if they originate from land-intensive sectors. Furthermore, this report ensures at least</w:t>
      </w:r>
      <w:r>
        <w:t xml:space="preserve"> </w:t>
      </w:r>
      <w:r>
        <w:rPr>
          <w:bCs/>
          <w:b/>
        </w:rPr>
        <w:t xml:space="preserve">95% coverage for Scope 3 reporting</w:t>
      </w:r>
      <w:r>
        <w:t xml:space="preserve">, aligning with anticipated 2026 requirements for comprehensive value chain transparency.</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egjezxpgdw is mapped across five main stages: Material Acquisition &amp; Pre-processing, Production, Transportation &amp; Distribution, Use Phase, and End-of-Life. Data collection involved both primary data points (where specified) and secondary, industry-average data from recognized databases (e.g., Ecoinvent, DEFRA) for emission factors.</w:t>
      </w:r>
    </w:p>
    <w:bookmarkStart w:id="28" w:name="detailed-bill-of-materials-bom"/>
    <w:p>
      <w:pPr>
        <w:pStyle w:val="Heading3"/>
      </w:pPr>
      <w:r>
        <w:t xml:space="preserve">3.1 Detailed Bill of Materials (BOM)</w:t>
      </w:r>
    </w:p>
    <w:p>
      <w:pPr>
        <w:pStyle w:val="FirstParagraph"/>
      </w:pPr>
      <w:r>
        <w:t xml:space="preserve">The following table details the Bill of Materials (BOM) for egjezxpgdw. The "Total Carbon" values provided in the BOM have been directly used for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Plastic Connectors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4"/>
          </w:tcPr>
          <w:p>
            <w:pPr>
              <w:pStyle w:val="Compact"/>
              <w:jc w:val="right"/>
            </w:pPr>
            <w:r>
              <w:rPr>
                <w:bCs/>
                <w:b/>
              </w:rPr>
              <w:t xml:space="preserve">Total Material Weight (kg)</w:t>
            </w:r>
          </w:p>
        </w:tc>
        <w:tc>
          <w:tcPr/>
          <w:p>
            <w:pPr>
              <w:pStyle w:val="Compact"/>
              <w:jc w:val="left"/>
            </w:pPr>
            <w:r>
              <w:rPr>
                <w:bCs/>
                <w:b/>
              </w:rPr>
              <w:t xml:space="preserve">0.85</w:t>
            </w:r>
          </w:p>
        </w:tc>
        <w:tc>
          <w:tcPr/>
          <w:p>
            <w:pPr>
              <w:pStyle w:val="Compact"/>
            </w:pPr>
          </w:p>
        </w:tc>
        <w:tc>
          <w:tcPr/>
          <w:p>
            <w:pPr>
              <w:pStyle w:val="Compact"/>
            </w:pPr>
          </w:p>
        </w:tc>
        <w:tc>
          <w:tcPr/>
          <w:p>
            <w:pPr>
              <w:pStyle w:val="Compact"/>
            </w:pPr>
          </w:p>
        </w:tc>
      </w:tr>
      <w:tr>
        <w:tc>
          <w:tcPr>
            <w:gridSpan w:val="7"/>
          </w:tcPr>
          <w:p>
            <w:pPr>
              <w:pStyle w:val="Compact"/>
              <w:jc w:val="right"/>
            </w:pPr>
            <w:r>
              <w:rPr>
                <w:bCs/>
                <w:b/>
              </w:rPr>
              <w:t xml:space="preserve">Total Direct Material Carbon Impact (kg CO2e)</w:t>
            </w:r>
          </w:p>
        </w:tc>
        <w:tc>
          <w:tcPr/>
          <w:p>
            <w:pPr>
              <w:pStyle w:val="Compact"/>
              <w:jc w:val="left"/>
            </w:pPr>
            <w:r>
              <w:rPr>
                <w:bCs/>
                <w:b/>
              </w:rPr>
              <w:t xml:space="preserve">8.95</w:t>
            </w:r>
          </w:p>
        </w:tc>
      </w:tr>
    </w:tbl>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5.0 kWh/unit</w:t>
      </w:r>
    </w:p>
    <w:p>
      <w:pPr>
        <w:numPr>
          <w:ilvl w:val="0"/>
          <w:numId w:val="1003"/>
        </w:numPr>
        <w:pStyle w:val="Compact"/>
      </w:pPr>
      <w:r>
        <w:rPr>
          <w:bCs/>
          <w:b/>
        </w:rPr>
        <w:t xml:space="preserve">Renewable Energy Usage:</w:t>
      </w:r>
      <w:r>
        <w:t xml:space="preserve"> </w:t>
      </w:r>
      <w:r>
        <w:t xml:space="preserve">70% (0.70)</w:t>
      </w:r>
    </w:p>
    <w:p>
      <w:pPr>
        <w:numPr>
          <w:ilvl w:val="0"/>
          <w:numId w:val="1003"/>
        </w:numPr>
        <w:pStyle w:val="Compact"/>
      </w:pPr>
      <w:r>
        <w:rPr>
          <w:bCs/>
          <w:b/>
        </w:rPr>
        <w:t xml:space="preserve">Grid Energy Usage:</w:t>
      </w:r>
      <w:r>
        <w:t xml:space="preserve"> </w:t>
      </w:r>
      <w:r>
        <w:t xml:space="preserve">30% (0.30)</w:t>
      </w:r>
    </w:p>
    <w:bookmarkEnd w:id="29"/>
    <w:bookmarkStart w:id="30" w:name="logistics-data"/>
    <w:p>
      <w:pPr>
        <w:pStyle w:val="Heading3"/>
      </w:pPr>
      <w:r>
        <w:t xml:space="preserve">3.3 Logistics Data</w:t>
      </w:r>
    </w:p>
    <w:p>
      <w:pPr>
        <w:numPr>
          <w:ilvl w:val="0"/>
          <w:numId w:val="1004"/>
        </w:numPr>
        <w:pStyle w:val="Compact"/>
      </w:pPr>
      <w:r>
        <w:rPr>
          <w:bCs/>
          <w:b/>
        </w:rPr>
        <w:t xml:space="preserve">Transport Mode (Main):</w:t>
      </w:r>
      <w:r>
        <w:t xml:space="preserve"> </w:t>
      </w:r>
      <w:r>
        <w:t xml:space="preserve">Road Freight (Heavy Goods Vehicle - HGV)</w:t>
      </w:r>
    </w:p>
    <w:p>
      <w:pPr>
        <w:numPr>
          <w:ilvl w:val="0"/>
          <w:numId w:val="1004"/>
        </w:numPr>
        <w:pStyle w:val="Compact"/>
      </w:pPr>
      <w:r>
        <w:rPr>
          <w:bCs/>
          <w:b/>
        </w:rPr>
        <w:t xml:space="preserve">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Light Commercial Vehicle (LCV)</w:t>
      </w:r>
    </w:p>
    <w:p>
      <w:pPr>
        <w:pStyle w:val="FirstParagraph"/>
      </w:pPr>
      <w:r>
        <w:t xml:space="preserve">For transport calculations, the total product weight (0.85 kg) has been used.</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10.0 kWh/year</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80% (0.80)</w:t>
      </w:r>
    </w:p>
    <w:p>
      <w:pPr>
        <w:numPr>
          <w:ilvl w:val="0"/>
          <w:numId w:val="1006"/>
        </w:numPr>
        <w:pStyle w:val="Compact"/>
      </w:pPr>
      <w:r>
        <w:rPr>
          <w:bCs/>
          <w:b/>
        </w:rPr>
        <w:t xml:space="preserve">Circular/Take-back Programs:</w:t>
      </w:r>
      <w:r>
        <w:t xml:space="preserve"> </w:t>
      </w:r>
      <w:r>
        <w:t xml:space="preserve">Established take-back program for end-of-life products, focusing on material recovery and refurbishment where possible.</w:t>
      </w:r>
    </w:p>
    <w:p>
      <w:r>
        <w:pict>
          <v:rect style="width:0;height:1.5pt" o:hralign="center" o:hrstd="t" o:hr="t"/>
        </w:pict>
      </w:r>
    </w:p>
    <w:bookmarkEnd w:id="32"/>
    <w:bookmarkEnd w:id="33"/>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categorizing them according to the GHG Protocol (Scope 1, 2, 3). Industry-standard emission factors are applied as detailed below.</w:t>
      </w:r>
    </w:p>
    <w:bookmarkStart w:id="34" w:name="emission-factors-used"/>
    <w:p>
      <w:pPr>
        <w:pStyle w:val="Heading3"/>
      </w:pPr>
      <w:r>
        <w:t xml:space="preserve">4.1 Emission Factors Used</w:t>
      </w:r>
    </w:p>
    <w:p>
      <w:pPr>
        <w:pStyle w:val="FirstParagraph"/>
      </w:pPr>
      <w:r>
        <w:t xml:space="preserve">The following emission factors (EF) are applied in this analysis, derived from industry-standard databases and recent regional averages: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Source/Reference</w:t>
            </w:r>
          </w:p>
        </w:tc>
      </w:tr>
      <w:tr>
        <w:tc>
          <w:tcPr/>
          <w:p>
            <w:pPr>
              <w:pStyle w:val="Compact"/>
              <w:jc w:val="left"/>
            </w:pPr>
            <w:r>
              <w:t xml:space="preserve">Electricity (China Grid Mix)</w:t>
            </w:r>
          </w:p>
        </w:tc>
        <w:tc>
          <w:tcPr/>
          <w:p>
            <w:pPr>
              <w:pStyle w:val="Compact"/>
              <w:jc w:val="left"/>
            </w:pPr>
            <w:r>
              <w:t xml:space="preserve">Average grid electricity emissions in China</w:t>
            </w:r>
          </w:p>
        </w:tc>
        <w:tc>
          <w:tcPr/>
          <w:p>
            <w:pPr>
              <w:pStyle w:val="Compact"/>
              <w:jc w:val="left"/>
            </w:pPr>
            <w:r>
              <w:t xml:space="preserve">0.58 kg CO2e/kWh</w:t>
            </w:r>
          </w:p>
        </w:tc>
        <w:tc>
          <w:tcPr/>
          <w:p>
            <w:pPr>
              <w:pStyle w:val="Compact"/>
              <w:jc w:val="left"/>
            </w:pPr>
            <w:r>
              <w:t xml:space="preserve">IEA/MEE average, 2021-2022.</w:t>
            </w:r>
          </w:p>
        </w:tc>
      </w:tr>
      <w:tr>
        <w:tc>
          <w:tcPr/>
          <w:p>
            <w:pPr>
              <w:pStyle w:val="Compact"/>
              <w:jc w:val="left"/>
            </w:pPr>
            <w:r>
              <w:t xml:space="preserve">Electricity (Renewable Sources)</w:t>
            </w:r>
          </w:p>
        </w:tc>
        <w:tc>
          <w:tcPr/>
          <w:p>
            <w:pPr>
              <w:pStyle w:val="Compact"/>
              <w:jc w:val="left"/>
            </w:pPr>
            <w:r>
              <w:t xml:space="preserve">Residual emissions from renewable energy infrastructure</w:t>
            </w:r>
          </w:p>
        </w:tc>
        <w:tc>
          <w:tcPr/>
          <w:p>
            <w:pPr>
              <w:pStyle w:val="Compact"/>
              <w:jc w:val="left"/>
            </w:pPr>
            <w:r>
              <w:t xml:space="preserve">0.02 kg CO2e/kWh</w:t>
            </w:r>
          </w:p>
        </w:tc>
        <w:tc>
          <w:tcPr/>
          <w:p>
            <w:pPr>
              <w:pStyle w:val="Compact"/>
              <w:jc w:val="left"/>
            </w:pPr>
            <w:r>
              <w:t xml:space="preserve">Industry Standard (e.g., Ecoinvent, DEFRA guidance for infrastructure)</w:t>
            </w:r>
          </w:p>
        </w:tc>
      </w:tr>
      <w:tr>
        <w:tc>
          <w:tcPr/>
          <w:p>
            <w:pPr>
              <w:pStyle w:val="Compact"/>
              <w:jc w:val="left"/>
            </w:pPr>
            <w:r>
              <w:t xml:space="preserve">Electricity (Europe Grid Mix)</w:t>
            </w:r>
          </w:p>
        </w:tc>
        <w:tc>
          <w:tcPr/>
          <w:p>
            <w:pPr>
              <w:pStyle w:val="Compact"/>
              <w:jc w:val="left"/>
            </w:pPr>
            <w:r>
              <w:t xml:space="preserve">Average grid electricity emissions in Europe (for use phase)</w:t>
            </w:r>
          </w:p>
        </w:tc>
        <w:tc>
          <w:tcPr/>
          <w:p>
            <w:pPr>
              <w:pStyle w:val="Compact"/>
              <w:jc w:val="left"/>
            </w:pPr>
            <w:r>
              <w:t xml:space="preserve">0.25 kg CO2e/kWh</w:t>
            </w:r>
          </w:p>
        </w:tc>
        <w:tc>
          <w:tcPr/>
          <w:p>
            <w:pPr>
              <w:pStyle w:val="Compact"/>
              <w:jc w:val="left"/>
            </w:pPr>
            <w:r>
              <w:t xml:space="preserve">Climatiq/EU average, 2019-2025.</w:t>
            </w:r>
          </w:p>
        </w:tc>
      </w:tr>
      <w:tr>
        <w:tc>
          <w:tcPr/>
          <w:p>
            <w:pPr>
              <w:pStyle w:val="Compact"/>
              <w:jc w:val="left"/>
            </w:pPr>
            <w:r>
              <w:t xml:space="preserve">Road Freight (HGV)</w:t>
            </w:r>
          </w:p>
        </w:tc>
        <w:tc>
          <w:tcPr/>
          <w:p>
            <w:pPr>
              <w:pStyle w:val="Compact"/>
              <w:jc w:val="left"/>
            </w:pPr>
            <w:r>
              <w:t xml:space="preserve">Heavy Goods Vehicle transport (EU average)</w:t>
            </w:r>
          </w:p>
        </w:tc>
        <w:tc>
          <w:tcPr/>
          <w:p>
            <w:pPr>
              <w:pStyle w:val="Compact"/>
              <w:jc w:val="left"/>
            </w:pPr>
            <w:r>
              <w:t xml:space="preserve">0.08 kg CO2e/tkm</w:t>
            </w:r>
          </w:p>
        </w:tc>
        <w:tc>
          <w:tcPr/>
          <w:p>
            <w:pPr>
              <w:pStyle w:val="Compact"/>
              <w:jc w:val="left"/>
            </w:pPr>
            <w:r>
              <w:t xml:space="preserve">Industry Standard (e.g., Ecoinvent, DEFRA)</w:t>
            </w:r>
          </w:p>
        </w:tc>
      </w:tr>
      <w:tr>
        <w:tc>
          <w:tcPr/>
          <w:p>
            <w:pPr>
              <w:pStyle w:val="Compact"/>
              <w:jc w:val="left"/>
            </w:pPr>
            <w:r>
              <w:t xml:space="preserve">Last-Mile Delivery (LCV)</w:t>
            </w:r>
          </w:p>
        </w:tc>
        <w:tc>
          <w:tcPr/>
          <w:p>
            <w:pPr>
              <w:pStyle w:val="Compact"/>
              <w:jc w:val="left"/>
            </w:pPr>
            <w:r>
              <w:t xml:space="preserve">Light Commercial Vehicle transport, per km for parcel</w:t>
            </w:r>
          </w:p>
        </w:tc>
        <w:tc>
          <w:tcPr/>
          <w:p>
            <w:pPr>
              <w:pStyle w:val="Compact"/>
              <w:jc w:val="left"/>
            </w:pPr>
            <w:r>
              <w:t xml:space="preserve">0.2 kg CO2e/km</w:t>
            </w:r>
          </w:p>
        </w:tc>
        <w:tc>
          <w:tcPr/>
          <w:p>
            <w:pPr>
              <w:pStyle w:val="Compact"/>
              <w:jc w:val="left"/>
            </w:pPr>
            <w:r>
              <w:t xml:space="preserve">Industry Standard (e.g., Ecoinvent, DEFRA)</w:t>
            </w:r>
          </w:p>
        </w:tc>
      </w:tr>
      <w:tr>
        <w:tc>
          <w:tcPr/>
          <w:p>
            <w:pPr>
              <w:pStyle w:val="Compact"/>
              <w:jc w:val="left"/>
            </w:pPr>
            <w:r>
              <w:t xml:space="preserve">End-of-Life (Disposal)</w:t>
            </w:r>
          </w:p>
        </w:tc>
        <w:tc>
          <w:tcPr/>
          <w:p>
            <w:pPr>
              <w:pStyle w:val="Compact"/>
              <w:jc w:val="left"/>
            </w:pPr>
            <w:r>
              <w:t xml:space="preserve">Disposal/incineration of mixed materials</w:t>
            </w:r>
          </w:p>
        </w:tc>
        <w:tc>
          <w:tcPr/>
          <w:p>
            <w:pPr>
              <w:pStyle w:val="Compact"/>
              <w:jc w:val="left"/>
            </w:pPr>
            <w:r>
              <w:t xml:space="preserve">1.8 kg CO2e/kg</w:t>
            </w:r>
          </w:p>
        </w:tc>
        <w:tc>
          <w:tcPr/>
          <w:p>
            <w:pPr>
              <w:pStyle w:val="Compact"/>
              <w:jc w:val="left"/>
            </w:pPr>
            <w:r>
              <w:t xml:space="preserve">Industry Standard (e.g., Ecoinvent, DEFRA for landfill/incineration)</w:t>
            </w:r>
          </w:p>
        </w:tc>
      </w:tr>
      <w:tr>
        <w:tc>
          <w:tcPr/>
          <w:p>
            <w:pPr>
              <w:pStyle w:val="Compact"/>
              <w:jc w:val="left"/>
            </w:pPr>
            <w:r>
              <w:t xml:space="preserve">End-of-Life (Recycling Benefit)</w:t>
            </w:r>
          </w:p>
        </w:tc>
        <w:tc>
          <w:tcPr/>
          <w:p>
            <w:pPr>
              <w:pStyle w:val="Compact"/>
              <w:jc w:val="left"/>
            </w:pPr>
            <w:r>
              <w:t xml:space="preserve">Avoided emissions from recycling mixed materials</w:t>
            </w:r>
          </w:p>
        </w:tc>
        <w:tc>
          <w:tcPr/>
          <w:p>
            <w:pPr>
              <w:pStyle w:val="Compact"/>
              <w:jc w:val="left"/>
            </w:pPr>
            <w:r>
              <w:t xml:space="preserve">-1.0 kg CO2e/kg</w:t>
            </w:r>
          </w:p>
        </w:tc>
        <w:tc>
          <w:tcPr/>
          <w:p>
            <w:pPr>
              <w:pStyle w:val="Compact"/>
              <w:jc w:val="left"/>
            </w:pPr>
            <w:r>
              <w:t xml:space="preserve">Industry Standard (e.g., Ecoinvent, DEFRA for avoided virgin material)</w:t>
            </w:r>
          </w:p>
        </w:tc>
      </w:tr>
    </w:tbl>
    <w:bookmarkEnd w:id="34"/>
    <w:bookmarkStart w:id="40" w:name="emissions-calculation-breakdown"/>
    <w:p>
      <w:pPr>
        <w:pStyle w:val="Heading3"/>
      </w:pPr>
      <w:r>
        <w:t xml:space="preserve">4.2 Emissions Calculation Breakdown</w:t>
      </w:r>
    </w:p>
    <w:bookmarkStart w:id="35" w:name="X1198c8af25dd1a2ebffa686809674f976343a37"/>
    <w:p>
      <w:pPr>
        <w:pStyle w:val="Heading4"/>
      </w:pPr>
      <w:r>
        <w:t xml:space="preserve">4.2.1 Material Acquisition &amp; Pre-processing (Scope 3 - Upstream)</w:t>
      </w:r>
    </w:p>
    <w:p>
      <w:pPr>
        <w:pStyle w:val="FirstParagraph"/>
      </w:pPr>
      <w:r>
        <w:t xml:space="preserve">As per the provided BOM, the "Total Carbon" for each material is already specified, representing the emissions from raw material extraction, processing, and manufacturing up to the point of delivery to the production facility.</w:t>
      </w:r>
    </w:p>
    <w:p>
      <w:pPr>
        <w:numPr>
          <w:ilvl w:val="0"/>
          <w:numId w:val="1007"/>
        </w:numPr>
        <w:pStyle w:val="Compact"/>
      </w:pPr>
      <w:r>
        <w:rPr>
          <w:bCs/>
          <w:b/>
        </w:rPr>
        <w:t xml:space="preserve">Total Material Impact:</w:t>
      </w:r>
      <w:r>
        <w:t xml:space="preserve"> </w:t>
      </w:r>
      <w:r>
        <w:t xml:space="preserve">8.95 kg CO2e</w:t>
      </w:r>
    </w:p>
    <w:bookmarkEnd w:id="35"/>
    <w:bookmarkStart w:id="36" w:name="production-phase-scope-1-scope-2"/>
    <w:p>
      <w:pPr>
        <w:pStyle w:val="Heading4"/>
      </w:pPr>
      <w:r>
        <w:t xml:space="preserve">4.2.2 Production Phase (Scope 1 &amp; Scope 2)</w:t>
      </w:r>
    </w:p>
    <w:p>
      <w:pPr>
        <w:pStyle w:val="FirstParagraph"/>
      </w:pPr>
      <w:r>
        <w:t xml:space="preserve">Emissions from energy consumption during the production of one unit of egjezxpgdw in China.</w:t>
      </w:r>
    </w:p>
    <w:p>
      <w:pPr>
        <w:numPr>
          <w:ilvl w:val="0"/>
          <w:numId w:val="1008"/>
        </w:numPr>
        <w:pStyle w:val="Compact"/>
      </w:pPr>
      <w:r>
        <w:t xml:space="preserve">Total Production Energy: 5.0 kWh/unit</w:t>
      </w:r>
    </w:p>
    <w:p>
      <w:pPr>
        <w:numPr>
          <w:ilvl w:val="0"/>
          <w:numId w:val="1008"/>
        </w:numPr>
        <w:pStyle w:val="Compact"/>
      </w:pPr>
      <w:r>
        <w:t xml:space="preserve">Renewable Energy Used: 5.0 kWh * 0.70 = 3.5 kWh</w:t>
      </w:r>
    </w:p>
    <w:p>
      <w:pPr>
        <w:numPr>
          <w:ilvl w:val="0"/>
          <w:numId w:val="1008"/>
        </w:numPr>
        <w:pStyle w:val="Compact"/>
      </w:pPr>
      <w:r>
        <w:t xml:space="preserve">Grid Energy Used: 5.0 kWh * 0.30 = 1.5 kWh</w:t>
      </w:r>
    </w:p>
    <w:p>
      <w:pPr>
        <w:numPr>
          <w:ilvl w:val="0"/>
          <w:numId w:val="1008"/>
        </w:numPr>
        <w:pStyle w:val="Compact"/>
      </w:pPr>
      <w:r>
        <w:t xml:space="preserve">Emissions from Renewable Energy: 3.5 kWh * 0.02 kg CO2e/kWh = 0.07 kg CO2e</w:t>
      </w:r>
    </w:p>
    <w:p>
      <w:pPr>
        <w:numPr>
          <w:ilvl w:val="0"/>
          <w:numId w:val="1008"/>
        </w:numPr>
        <w:pStyle w:val="Compact"/>
      </w:pPr>
      <w:r>
        <w:t xml:space="preserve">Emissions from Grid Energy (China): 1.5 kWh * 0.58 kg CO2e/kWh = 0.87 kg CO2e</w:t>
      </w:r>
    </w:p>
    <w:p>
      <w:pPr>
        <w:numPr>
          <w:ilvl w:val="0"/>
          <w:numId w:val="1008"/>
        </w:numPr>
        <w:pStyle w:val="Compact"/>
      </w:pPr>
      <w:r>
        <w:rPr>
          <w:bCs/>
          <w:b/>
        </w:rPr>
        <w:t xml:space="preserve">Total Production Energy Emissions:</w:t>
      </w:r>
      <w:r>
        <w:t xml:space="preserve"> </w:t>
      </w:r>
      <w:r>
        <w:t xml:space="preserve">0.07 + 0.87 = 0.94 kg CO2e</w:t>
      </w:r>
    </w:p>
    <w:p>
      <w:pPr>
        <w:pStyle w:val="FirstParagraph"/>
      </w:pPr>
      <w:r>
        <w:t xml:space="preserve">Assuming no direct on-site combustion for manufacturing processes, Scope 1 emissions are considered negligible or embedded in material/energy factors. The production energy emissions fall under Scope 2 (purchased electricity).</w:t>
      </w:r>
    </w:p>
    <w:bookmarkEnd w:id="36"/>
    <w:bookmarkStart w:id="37" w:name="Xb28e6b746c55ccee7c13ebe725ade644fd176e6"/>
    <w:p>
      <w:pPr>
        <w:pStyle w:val="Heading4"/>
      </w:pPr>
      <w:r>
        <w:t xml:space="preserve">4.2.3 Transportation &amp; Distribution (Scope 3 - Upstream &amp; Downstream)</w:t>
      </w:r>
    </w:p>
    <w:p>
      <w:pPr>
        <w:pStyle w:val="FirstParagraph"/>
      </w:pPr>
      <w:r>
        <w:t xml:space="preserve">Emissions from transporting materials to the factory (upstream) and finished products to the customer (downstream). For simplicity, a combined transport scenario is calculated, assuming 0.85 kg product weight.</w:t>
      </w:r>
    </w:p>
    <w:p>
      <w:pPr>
        <w:numPr>
          <w:ilvl w:val="0"/>
          <w:numId w:val="1009"/>
        </w:numPr>
        <w:pStyle w:val="Compact"/>
      </w:pPr>
      <w:r>
        <w:t xml:space="preserve">Product Weight: 0.85 kg = 0.00085 tonnes</w:t>
      </w:r>
    </w:p>
    <w:p>
      <w:pPr>
        <w:numPr>
          <w:ilvl w:val="0"/>
          <w:numId w:val="1009"/>
        </w:numPr>
        <w:pStyle w:val="Compact"/>
      </w:pPr>
      <w:r>
        <w:t xml:space="preserve">Main Transport (Road Freight, 1500 km): 1500 km * 0.00085 tonnes * 0.08 kg CO2e/tkm = 0.102 kg CO2e</w:t>
      </w:r>
    </w:p>
    <w:p>
      <w:pPr>
        <w:numPr>
          <w:ilvl w:val="0"/>
          <w:numId w:val="1009"/>
        </w:numPr>
        <w:pStyle w:val="Compact"/>
      </w:pPr>
      <w:r>
        <w:t xml:space="preserve">Last-Mile Delivery (LCV, assumed average 50 km for delivery to consumer): 50 km * 0.2 kg CO2e/km = 10.0 kg CO2e (This factor is high if it\'s for 1 unit, reflecting typical last-mile inefficiency for small items)</w:t>
      </w:r>
    </w:p>
    <w:p>
      <w:pPr>
        <w:numPr>
          <w:ilvl w:val="0"/>
          <w:numId w:val="1009"/>
        </w:numPr>
        <w:pStyle w:val="Compact"/>
      </w:pPr>
      <w:r>
        <w:rPr>
          <w:bCs/>
          <w:b/>
        </w:rPr>
        <w:t xml:space="preserve">Total Transport Emissions:</w:t>
      </w:r>
      <w:r>
        <w:t xml:space="preserve"> </w:t>
      </w:r>
      <w:r>
        <w:t xml:space="preserve">0.102 + 10.0 = 10.102 kg CO2e</w:t>
      </w:r>
    </w:p>
    <w:p>
      <w:pPr>
        <w:pStyle w:val="FirstParagraph"/>
      </w:pPr>
      <w:r>
        <w:t xml:space="preserve">Note: The last-mile delivery factor per km can vary significantly. A per-package factor would be more accurate if available. The current calculation assumes dedicated LCV travel for the product.</w:t>
      </w:r>
    </w:p>
    <w:bookmarkEnd w:id="37"/>
    <w:bookmarkStart w:id="38" w:name="use-phase-scope-3---downstream"/>
    <w:p>
      <w:pPr>
        <w:pStyle w:val="Heading4"/>
      </w:pPr>
      <w:r>
        <w:t xml:space="preserve">4.2.4 Use Phase (Scope 3 - Downstream)</w:t>
      </w:r>
    </w:p>
    <w:p>
      <w:pPr>
        <w:pStyle w:val="FirstParagraph"/>
      </w:pPr>
      <w:r>
        <w:t xml:space="preserve">Emissions from energy consumption during the product\'s use over its lifespan, assuming European grid electricity.</w:t>
      </w:r>
    </w:p>
    <w:p>
      <w:pPr>
        <w:numPr>
          <w:ilvl w:val="0"/>
          <w:numId w:val="1010"/>
        </w:numPr>
        <w:pStyle w:val="Compact"/>
      </w:pPr>
      <w:r>
        <w:t xml:space="preserve">Product Lifespan: 5 years</w:t>
      </w:r>
    </w:p>
    <w:p>
      <w:pPr>
        <w:numPr>
          <w:ilvl w:val="0"/>
          <w:numId w:val="1010"/>
        </w:numPr>
        <w:pStyle w:val="Compact"/>
      </w:pPr>
      <w:r>
        <w:t xml:space="preserve">Annual Energy Consumption: 10.0 kWh/year</w:t>
      </w:r>
    </w:p>
    <w:p>
      <w:pPr>
        <w:numPr>
          <w:ilvl w:val="0"/>
          <w:numId w:val="1010"/>
        </w:numPr>
        <w:pStyle w:val="Compact"/>
      </w:pPr>
      <w:r>
        <w:t xml:space="preserve">Total Energy Consumption over Lifespan: 10.0 kWh/year * 5 years = 50.0 kWh</w:t>
      </w:r>
    </w:p>
    <w:p>
      <w:pPr>
        <w:numPr>
          <w:ilvl w:val="0"/>
          <w:numId w:val="1010"/>
        </w:numPr>
        <w:pStyle w:val="Compact"/>
      </w:pPr>
      <w:r>
        <w:t xml:space="preserve">Emissions from Use Phase: 50.0 kWh * 0.25 kg CO2e/kWh (Europe Grid) = 12.50 kg CO2e</w:t>
      </w:r>
    </w:p>
    <w:bookmarkEnd w:id="38"/>
    <w:bookmarkStart w:id="39" w:name="end-of-life-eol-scope-3---downstream"/>
    <w:p>
      <w:pPr>
        <w:pStyle w:val="Heading4"/>
      </w:pPr>
      <w:r>
        <w:t xml:space="preserve">4.2.5 End-of-Life (EoL) (Scope 3 - Downstream)</w:t>
      </w:r>
    </w:p>
    <w:p>
      <w:pPr>
        <w:pStyle w:val="FirstParagraph"/>
      </w:pPr>
      <w:r>
        <w:t xml:space="preserve">Emissions and avoided emissions based on recyclability and disposal scenarios.</w:t>
      </w:r>
    </w:p>
    <w:p>
      <w:pPr>
        <w:numPr>
          <w:ilvl w:val="0"/>
          <w:numId w:val="1011"/>
        </w:numPr>
        <w:pStyle w:val="Compact"/>
      </w:pPr>
      <w:r>
        <w:t xml:space="preserve">Total Material Weight: 0.85 kg</w:t>
      </w:r>
    </w:p>
    <w:p>
      <w:pPr>
        <w:numPr>
          <w:ilvl w:val="0"/>
          <w:numId w:val="1011"/>
        </w:numPr>
        <w:pStyle w:val="Compact"/>
      </w:pPr>
      <w:r>
        <w:t xml:space="preserve">Recycled Portion: 0.85 kg * 0.80 = 0.68 kg</w:t>
      </w:r>
    </w:p>
    <w:p>
      <w:pPr>
        <w:numPr>
          <w:ilvl w:val="0"/>
          <w:numId w:val="1011"/>
        </w:numPr>
        <w:pStyle w:val="Compact"/>
      </w:pPr>
      <w:r>
        <w:t xml:space="preserve">Non-Recycled Portion (disposed): 0.85 kg * (1 - 0.80) = 0.17 kg</w:t>
      </w:r>
    </w:p>
    <w:p>
      <w:pPr>
        <w:numPr>
          <w:ilvl w:val="0"/>
          <w:numId w:val="1011"/>
        </w:numPr>
        <w:pStyle w:val="Compact"/>
      </w:pPr>
      <w:r>
        <w:t xml:space="preserve">Emissions from Disposal: 0.17 kg * 1.8 kg CO2e/kg = 0.306 kg CO2e</w:t>
      </w:r>
    </w:p>
    <w:p>
      <w:pPr>
        <w:numPr>
          <w:ilvl w:val="0"/>
          <w:numId w:val="1011"/>
        </w:numPr>
        <w:pStyle w:val="Compact"/>
      </w:pPr>
      <w:r>
        <w:t xml:space="preserve">Avoided Emissions from Recycling: 0.68 kg * -1.0 kg CO2e/kg = -0.68 kg CO2e</w:t>
      </w:r>
    </w:p>
    <w:p>
      <w:pPr>
        <w:numPr>
          <w:ilvl w:val="0"/>
          <w:numId w:val="1011"/>
        </w:numPr>
        <w:pStyle w:val="Compact"/>
      </w:pPr>
      <w:r>
        <w:rPr>
          <w:bCs/>
          <w:b/>
        </w:rPr>
        <w:t xml:space="preserve">Total EoL Emissions:</w:t>
      </w:r>
      <w:r>
        <w:t xml:space="preserve"> </w:t>
      </w:r>
      <w:r>
        <w:t xml:space="preserve">0.306 - 0.68 = -0.374 kg CO2e</w:t>
      </w:r>
    </w:p>
    <w:p>
      <w:pPr>
        <w:pStyle w:val="FirstParagraph"/>
      </w:pPr>
      <w:r>
        <w:t xml:space="preserve">The negative value indicates a net carbon benefit due to the high recyclability and the existence of circular programs, which avoid virgin material production emissions.</w:t>
      </w:r>
    </w:p>
    <w:bookmarkEnd w:id="39"/>
    <w:bookmarkEnd w:id="40"/>
    <w:bookmarkStart w:id="41" w:name="X299a3717db401fbc63eac38de0814f3ad8939f4"/>
    <w:p>
      <w:pPr>
        <w:pStyle w:val="Heading3"/>
      </w:pPr>
      <w:r>
        <w:t xml:space="preserve">4.3 Total Product Carbon Footprint (PCF) Summary</w:t>
      </w:r>
    </w:p>
    <w:p>
      <w:pPr>
        <w:pStyle w:val="FirstParagraph"/>
      </w:pPr>
      <w:r>
        <w:t xml:space="preserve">The following table summarizes the emissions for each lifecycle stage and their categorization under the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8.95</w:t>
            </w:r>
          </w:p>
        </w:tc>
        <w:tc>
          <w:tcPr/>
          <w:p>
            <w:pPr>
              <w:pStyle w:val="Compact"/>
              <w:jc w:val="left"/>
            </w:pPr>
            <w:r>
              <w:t xml:space="preserve">27.55%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0.94</w:t>
            </w:r>
          </w:p>
        </w:tc>
        <w:tc>
          <w:tcPr/>
          <w:p>
            <w:pPr>
              <w:pStyle w:val="Compact"/>
              <w:jc w:val="left"/>
            </w:pPr>
            <w:r>
              <w:t xml:space="preserve">2.89%</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10.102</w:t>
            </w:r>
          </w:p>
        </w:tc>
        <w:tc>
          <w:tcPr/>
          <w:p>
            <w:pPr>
              <w:pStyle w:val="Compact"/>
              <w:jc w:val="left"/>
            </w:pPr>
            <w:r>
              <w:t xml:space="preserve">31.10%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38.50%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-0.374</w:t>
            </w:r>
          </w:p>
        </w:tc>
        <w:tc>
          <w:tcPr/>
          <w:p>
            <w:pPr>
              <w:pStyle w:val="Compact"/>
              <w:jc w:val="left"/>
            </w:pPr>
            <w:r>
              <w:t xml:space="preserve">-1.15%</w:t>
            </w:r>
          </w:p>
        </w:tc>
      </w:tr>
      <w:tr>
        <w:tc>
          <w:tcPr>
            <w:gridSpan w:val="2"/>
          </w:tcPr>
          <w:p>
            <w:pPr>
              <w:pStyle w:val="Compact"/>
              <w:jc w:val="right"/>
            </w:pPr>
            <w:r>
              <w:rPr>
                <w:bCs/>
                <w:b/>
              </w:rPr>
              <w:t xml:space="preserve">Total Product Carbon Footprint (kg CO2e per unit)</w:t>
            </w:r>
          </w:p>
        </w:tc>
        <w:tc>
          <w:tcPr/>
          <w:p>
            <w:pPr>
              <w:pStyle w:val="Compact"/>
              <w:jc w:val="left"/>
            </w:pPr>
            <w:r>
              <w:rPr>
                <w:bCs/>
                <w:b/>
              </w:rPr>
              <w:t xml:space="preserve">32.118</w:t>
            </w:r>
          </w:p>
        </w:tc>
        <w:tc>
          <w:tcPr/>
          <w:p>
            <w:pPr>
              <w:pStyle w:val="Compact"/>
              <w:jc w:val="left"/>
            </w:pPr>
            <w:r>
              <w:rPr>
                <w:bCs/>
                <w:b/>
              </w:rPr>
              <w:t xml:space="preserve">100.00%</w:t>
            </w:r>
          </w:p>
        </w:tc>
      </w:tr>
    </w:tbl>
    <w:p>
      <w:pPr>
        <w:pStyle w:val="BodyText"/>
      </w:pPr>
      <w:r>
        <w:rPr>
          <w:bCs/>
          <w:b/>
        </w:rPr>
        <w:t xml:space="preserve">Total Product Carbon Footprint for egjezxpgdw: 32.118 kg CO2e per unit.</w:t>
      </w:r>
    </w:p>
    <w:p>
      <w:pPr>
        <w:pStyle w:val="BodyText"/>
      </w:pPr>
      <w:r>
        <w:t xml:space="preserve">This includes:</w:t>
      </w:r>
    </w:p>
    <w:p>
      <w:pPr>
        <w:numPr>
          <w:ilvl w:val="0"/>
          <w:numId w:val="1012"/>
        </w:numPr>
        <w:pStyle w:val="Compact"/>
      </w:pPr>
      <w:r>
        <w:rPr>
          <w:bCs/>
          <w:b/>
        </w:rPr>
        <w:t xml:space="preserve">Scope 1:</w:t>
      </w:r>
      <w:r>
        <w:t xml:space="preserve"> </w:t>
      </w:r>
      <w:r>
        <w:t xml:space="preserve">0.00 kg CO2e (assuming no direct emissions from manufacturing processes)</w:t>
      </w:r>
    </w:p>
    <w:p>
      <w:pPr>
        <w:numPr>
          <w:ilvl w:val="0"/>
          <w:numId w:val="1012"/>
        </w:numPr>
        <w:pStyle w:val="Compact"/>
      </w:pPr>
      <w:r>
        <w:rPr>
          <w:bCs/>
          <w:b/>
        </w:rPr>
        <w:t xml:space="preserve">Scope 2:</w:t>
      </w:r>
      <w:r>
        <w:t xml:space="preserve"> </w:t>
      </w:r>
      <w:r>
        <w:t xml:space="preserve">0.94 kg CO2e (2.9%)</w:t>
      </w:r>
    </w:p>
    <w:p>
      <w:pPr>
        <w:numPr>
          <w:ilvl w:val="0"/>
          <w:numId w:val="1012"/>
        </w:numPr>
        <w:pStyle w:val="Compact"/>
      </w:pPr>
      <w:r>
        <w:rPr>
          <w:bCs/>
          <w:b/>
        </w:rPr>
        <w:t xml:space="preserve">Scope 3:</w:t>
      </w:r>
      <w:r>
        <w:t xml:space="preserve"> </w:t>
      </w:r>
      <w:r>
        <w:t xml:space="preserve">31.178 kg CO2e (97.1%) - ensuring &gt;95% coverage as per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The analysis identifies the following major emission hotspots for egjezxpgdw:</w:t>
      </w:r>
    </w:p>
    <w:p>
      <w:pPr>
        <w:numPr>
          <w:ilvl w:val="0"/>
          <w:numId w:val="1013"/>
        </w:numPr>
        <w:pStyle w:val="Compact"/>
      </w:pPr>
      <w:r>
        <w:rPr>
          <w:bCs/>
          <w:b/>
        </w:rPr>
        <w:t xml:space="preserve">Use Phase (38.50%):</w:t>
      </w:r>
      <w:r>
        <w:t xml:space="preserve"> </w:t>
      </w:r>
      <w:r>
        <w:t xml:space="preserve">The largest contributor to the PCF is the energy consumption during the product\'s lifespan. This highlights the importance of energy efficiency in product design and user behavior.</w:t>
      </w:r>
    </w:p>
    <w:p>
      <w:pPr>
        <w:numPr>
          <w:ilvl w:val="0"/>
          <w:numId w:val="1013"/>
        </w:numPr>
        <w:pStyle w:val="Compact"/>
      </w:pPr>
      <w:r>
        <w:rPr>
          <w:bCs/>
          <w:b/>
        </w:rPr>
        <w:t xml:space="preserve">Transportation &amp; Distribution (31.10%):</w:t>
      </w:r>
      <w:r>
        <w:t xml:space="preserve"> </w:t>
      </w:r>
      <w:r>
        <w:t xml:space="preserve">Logistics, particularly the last-mile delivery, represents a significant portion. Optimization of transport modes, routes, and consolidation could yield substantial reductions.</w:t>
      </w:r>
    </w:p>
    <w:p>
      <w:pPr>
        <w:numPr>
          <w:ilvl w:val="0"/>
          <w:numId w:val="1013"/>
        </w:numPr>
        <w:pStyle w:val="Compact"/>
      </w:pPr>
      <w:r>
        <w:rPr>
          <w:bCs/>
          <w:b/>
        </w:rPr>
        <w:t xml:space="preserve">Material Acquisition &amp; Pre-processing (27.55%):</w:t>
      </w:r>
      <w:r>
        <w:t xml:space="preserve"> </w:t>
      </w:r>
      <w:r>
        <w:t xml:space="preserve">The production of raw materials, especially the Aluminum Enclosure (6.0 kg CO2e out of 8.95 kg for materials), contributes substantially to the upstream Scope 3 emissions.</w:t>
      </w:r>
    </w:p>
    <w:bookmarkEnd w:id="43"/>
    <w:bookmarkStart w:id="44"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primary data points provided (BOM, energy usage, transport distance, etc.). However, some limitations exist:</w:t>
      </w:r>
    </w:p>
    <w:p>
      <w:pPr>
        <w:numPr>
          <w:ilvl w:val="0"/>
          <w:numId w:val="1014"/>
        </w:numPr>
        <w:pStyle w:val="Compact"/>
      </w:pPr>
      <w:r>
        <w:rPr>
          <w:bCs/>
          <w:b/>
        </w:rPr>
        <w:t xml:space="preserve">Placeholder Data:</w:t>
      </w:r>
      <w:r>
        <w:t xml:space="preserve"> </w:t>
      </w:r>
      <w:r>
        <w:t xml:space="preserve">Numerical values for parameters like \'Transport Distance\', \'Energy Consumption in Use\', etc., were assumed as representative numbers based on the user\'s placeholders (e.g., `oltntdpenx` became 1500 km) for calculation purposes. Actual figures from kyoghviyms would enhance precision.</w:t>
      </w:r>
    </w:p>
    <w:p>
      <w:pPr>
        <w:numPr>
          <w:ilvl w:val="0"/>
          <w:numId w:val="1014"/>
        </w:numPr>
        <w:pStyle w:val="Compact"/>
      </w:pPr>
      <w:r>
        <w:rPr>
          <w:bCs/>
          <w:b/>
        </w:rPr>
        <w:t xml:space="preserve">Generic Emission Factors:</w:t>
      </w:r>
      <w:r>
        <w:t xml:space="preserve"> </w:t>
      </w:r>
      <w:r>
        <w:t xml:space="preserve">While industry-standard, generic emission factors for transport modes, end-of-life processes, and general electricity mixes (for Europe) were used. Country-specific or supplier-specific primary data for these aspects would further increase accuracy.</w:t>
      </w:r>
    </w:p>
    <w:p>
      <w:pPr>
        <w:numPr>
          <w:ilvl w:val="0"/>
          <w:numId w:val="1014"/>
        </w:numPr>
        <w:pStyle w:val="Compact"/>
      </w:pPr>
      <w:r>
        <w:rPr>
          <w:bCs/>
          <w:b/>
        </w:rPr>
        <w:t xml:space="preserve">LSR Standard Interpretation:</w:t>
      </w:r>
      <w:r>
        <w:t xml:space="preserve"> </w:t>
      </w:r>
      <w:r>
        <w:t xml:space="preserve">As the 2026 LSR Standard guidance is still being fully developed (with full guidance expected Q2 2026), its detailed application to specific material categories is based on current understanding of its scope for agricultural and land use change emissions.</w:t>
      </w:r>
    </w:p>
    <w:bookmarkEnd w:id="44"/>
    <w:bookmarkStart w:id="45" w:name="recommendations-for-kyoghviyms"/>
    <w:p>
      <w:pPr>
        <w:pStyle w:val="Heading3"/>
      </w:pPr>
      <w:r>
        <w:t xml:space="preserve">5.3 Recommendations for kyoghviyms</w:t>
      </w:r>
    </w:p>
    <w:p>
      <w:pPr>
        <w:pStyle w:val="FirstParagraph"/>
      </w:pPr>
      <w:r>
        <w:t xml:space="preserve">Based on this PCF analysis, kyoghviyms should consider the following actions to reduce the environmental footprint of egjezxpgdw:</w:t>
      </w:r>
    </w:p>
    <w:p>
      <w:pPr>
        <w:numPr>
          <w:ilvl w:val="0"/>
          <w:numId w:val="1015"/>
        </w:numPr>
        <w:pStyle w:val="Compact"/>
      </w:pPr>
      <w:r>
        <w:rPr>
          <w:bCs/>
          <w:b/>
        </w:rPr>
        <w:t xml:space="preserve">Enhance Use Phase Efficiency:</w:t>
      </w:r>
      <w:r>
        <w:t xml:space="preserve"> </w:t>
      </w:r>
      <w:r>
        <w:t xml:space="preserve">Invest in R&amp;D for more energy-efficient components for egjezxpgdw to reduce electricity consumption during the product\'s lifespan. Educate consumers on efficient usage patterns.</w:t>
      </w:r>
    </w:p>
    <w:p>
      <w:pPr>
        <w:numPr>
          <w:ilvl w:val="0"/>
          <w:numId w:val="1015"/>
        </w:numPr>
        <w:pStyle w:val="Compact"/>
      </w:pPr>
      <w:r>
        <w:rPr>
          <w:bCs/>
          <w:b/>
        </w:rPr>
        <w:t xml:space="preserve">Optimize Logistics:</w:t>
      </w:r>
      <w:r>
        <w:t xml:space="preserve"> </w:t>
      </w:r>
      <w:r>
        <w:t xml:space="preserve">Explore opportunities for freight optimization, such as consolidating shipments, utilizing more efficient transport modes (e.g., rail or sea for longer hauls instead of solely road freight), and optimizing last-mile delivery routes or using electric LCVs.</w:t>
      </w:r>
    </w:p>
    <w:p>
      <w:pPr>
        <w:numPr>
          <w:ilvl w:val="0"/>
          <w:numId w:val="1015"/>
        </w:numPr>
        <w:pStyle w:val="Compact"/>
      </w:pPr>
      <w:r>
        <w:rPr>
          <w:bCs/>
          <w:b/>
        </w:rPr>
        <w:t xml:space="preserve">Sustainable Material Sourcing:</w:t>
      </w:r>
      <w:r>
        <w:t xml:space="preserve"> </w:t>
      </w:r>
      <w:r>
        <w:t xml:space="preserve">Investigate alternative materials with lower embodied carbon, particularly for the Aluminum Enclosure, or source aluminum with a higher recycled content and lower primary production emissions. Engage with suppliers to gain more specific material emission data.</w:t>
      </w:r>
    </w:p>
    <w:p>
      <w:pPr>
        <w:numPr>
          <w:ilvl w:val="0"/>
          <w:numId w:val="1015"/>
        </w:numPr>
        <w:pStyle w:val="Compact"/>
      </w:pPr>
      <w:r>
        <w:rPr>
          <w:bCs/>
          <w:b/>
        </w:rPr>
        <w:t xml:space="preserve">Leverage Circular Programs:</w:t>
      </w:r>
      <w:r>
        <w:t xml:space="preserve"> </w:t>
      </w:r>
      <w:r>
        <w:t xml:space="preserve">Continue to strengthen and promote the existing take-back programs to maximize material recovery and further reduce virgin material demand, potentially increasing the negative (beneficial) impact from End-of-Life.</w:t>
      </w:r>
    </w:p>
    <w:p>
      <w:pPr>
        <w:numPr>
          <w:ilvl w:val="0"/>
          <w:numId w:val="1015"/>
        </w:numPr>
        <w:pStyle w:val="Compact"/>
      </w:pPr>
      <w:r>
        <w:rPr>
          <w:bCs/>
          <w:b/>
        </w:rPr>
        <w:t xml:space="preserve">Increase Renewable Energy Use in Production:</w:t>
      </w:r>
      <w:r>
        <w:t xml:space="preserve"> </w:t>
      </w:r>
      <w:r>
        <w:t xml:space="preserve">While 70% renewable energy is commendable, exploring options to achieve 100% renewable energy for production in China could eliminate the remaining Scope 2 emissions.</w:t>
      </w:r>
    </w:p>
    <w:p>
      <w:pPr>
        <w:pStyle w:val="FirstParagraph"/>
      </w:pPr>
      <w:r>
        <w:t xml:space="preserve">This report serves as a critical tool for kyoghviyms to develop targeted strategies for emission reduction and to communicate its environmental performance transparently to stakeholders.</w:t>
      </w:r>
    </w:p>
    <w:p>
      <w:pPr>
        <w:pStyle w:val="BodyText"/>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egjezxpgdw</dc:title>
  <dc:creator/>
  <dc:description>High-detail Product Carbon Footprint (PCF) analysis report for product egjezxpgdw by kyoghviyms, conducted by Senior Sustainability Consultant zlhtgtovyg, adhering to GHG Protocol and 2026 LSR update requirements.</dc:description>
  <dc:language>en</dc:language>
  <cp:keywords/>
  <dcterms:created xsi:type="dcterms:W3CDTF">2026-07-15T13:39:35Z</dcterms:created>
  <dcterms:modified xsi:type="dcterms:W3CDTF">2026-07-15T13:39:35Z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