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efzqmflgqo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efzqmflgqo</w:t>
      </w:r>
    </w:p>
    <w:p>
      <w:pPr>
        <w:pStyle w:val="BodyText"/>
      </w:pPr>
      <w:r>
        <w:rPr>
          <w:bCs/>
          <w:b/>
        </w:rPr>
        <w:t xml:space="preserve">Protocol Data (Accounting Standard):</w:t>
      </w:r>
      <w:r>
        <w:t xml:space="preserve"> </w:t>
      </w:r>
      <w:r>
        <w:t xml:space="preserve">GHG Protocol</w:t>
      </w:r>
    </w:p>
    <w:p>
      <w:pPr>
        <w:pStyle w:val="BodyText"/>
      </w:pPr>
      <w:r>
        <w:rPr>
          <w:bCs/>
          <w:b/>
        </w:rPr>
        <w:t xml:space="preserve">Company Name:</w:t>
      </w:r>
      <w:r>
        <w:t xml:space="preserve"> </w:t>
      </w:r>
      <w:r>
        <w:t xml:space="preserve">vsuivutere</w:t>
      </w:r>
    </w:p>
    <w:p>
      <w:pPr>
        <w:pStyle w:val="BodyText"/>
      </w:pPr>
      <w:r>
        <w:rPr>
          <w:bCs/>
          <w:b/>
        </w:rPr>
        <w:t xml:space="preserve">Senior Sustainability Consultant:</w:t>
      </w:r>
      <w:r>
        <w:t xml:space="preserve"> </w:t>
      </w:r>
      <w:r>
        <w:t xml:space="preserve">zsxwnhkwpt</w:t>
      </w:r>
    </w:p>
    <w:p>
      <w:pPr>
        <w:pStyle w:val="BodyText"/>
      </w:pPr>
      <w:r>
        <w:t xml:space="preserve">This report is generated based on available data and industry standards, aiming to provide a high-detail assessment of the product\'s carbon footprint. All calculations are approximations based on the provided parameters and recognized emission factors.</w:t>
      </w:r>
    </w:p>
    <w:bookmarkEnd w:id="20"/>
    <w:bookmarkStart w:id="21" w:name="Xb24385480be31e17f3751a32d2691f40d15d1db"/>
    <w:p>
      <w:pPr>
        <w:pStyle w:val="Heading1"/>
      </w:pPr>
      <w:r>
        <w:t xml:space="preserve">Product Carbon Footprint Analysis Report for efzqmflgqo</w:t>
      </w:r>
    </w:p>
    <w:p>
      <w:pPr>
        <w:pStyle w:val="FirstParagraph"/>
      </w:pPr>
      <w:r>
        <w:rPr>
          <w:bCs/>
          <w:b/>
        </w:rPr>
        <w:t xml:space="preserve">Generated Date:</w:t>
      </w:r>
      <w:r>
        <w:t xml:space="preserve"> </w:t>
      </w:r>
      <w:r>
        <w:t xml:space="preserve">May 22, 2026</w:t>
      </w:r>
    </w:p>
    <w:p>
      <w:pPr>
        <w:pStyle w:val="BodyText"/>
      </w:pPr>
      <w:r>
        <w:rPr>
          <w:bCs/>
          <w:b/>
        </w:rPr>
        <w:t xml:space="preserve">Prepared by:</w:t>
      </w:r>
      <w:r>
        <w:t xml:space="preserve"> </w:t>
      </w:r>
      <w:r>
        <w:t xml:space="preserve">zsxwnhkwpt, Senior Sustainability Consultant</w:t>
      </w:r>
    </w:p>
    <w:p>
      <w:pPr>
        <w:pStyle w:val="BodyText"/>
      </w:pPr>
      <w:r>
        <w:rPr>
          <w:bCs/>
          <w:b/>
        </w:rPr>
        <w:t xml:space="preserve">Company:</w:t>
      </w:r>
      <w:r>
        <w:t xml:space="preserve"> </w:t>
      </w:r>
      <w:r>
        <w:t xml:space="preserve">vsuivutere</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"efzqmflgqo", manufactured by vsuivutere. The analysis adheres to the GHG Protocol Corporate Value Chain (Scope 3) Accounting and Reporting Standard, incorporating the latest 2026 updates for the Land Sector and Removals (LSR) Standard and stringent Scope 3 compliance requirements. The primary objective is to quantify the greenhouse gas emissions associated with the entire lifecycle of the product, from raw material acquisition to end-of-life, identify emission hotspots, and provide actionable insights for emission reduction strategies.</w:t>
      </w:r>
    </w:p>
    <w:p>
      <w:pPr>
        <w:pStyle w:val="BodyText"/>
      </w:pPr>
      <w:r>
        <w:t xml:space="preserve">The total carbon footprint of one functional unit of efzqmflgqo is calculated to be</w:t>
      </w:r>
      <w:r>
        <w:t xml:space="preserve"> </w:t>
      </w:r>
      <w:r>
        <w:rPr>
          <w:bCs/>
          <w:b/>
        </w:rPr>
        <w:t xml:space="preserve">6.85 kg CO2e</w:t>
      </w:r>
      <w:r>
        <w:t xml:space="preserve">. The main hotspots identified are the Use Phase and Material Acquisition, highlighting key areas for intervention to reduce environmental impact.</w:t>
      </w:r>
    </w:p>
    <w:bookmarkEnd w:id="22"/>
    <w:p>
      <w:r>
        <w:pict>
          <v:rect style="width:0;height:1.5pt" o:hralign="center" o:hrstd="t" o:hr="t"/>
        </w:pict>
      </w:r>
    </w:p>
    <w:bookmarkStart w:id="23" w:name="methodology-defining-the-scope"/>
    <w:p>
      <w:pPr>
        <w:pStyle w:val="Heading2"/>
      </w:pPr>
      <w:r>
        <w:t xml:space="preserve">1. Methodology: Defining the Scope</w:t>
      </w:r>
    </w:p>
    <w:p>
      <w:pPr>
        <w:pStyle w:val="FirstParagraph"/>
      </w:pPr>
      <w:r>
        <w:t xml:space="preserve">The Product Carbon Footprint (PCF) analysis for efzqmflgqo follows the five-step methodology prescribed by leading sustainability standards. This section outlines the foundational parameters for the assessment.</w:t>
      </w:r>
    </w:p>
    <w:p>
      <w:pPr>
        <w:numPr>
          <w:ilvl w:val="0"/>
          <w:numId w:val="1001"/>
        </w:numPr>
        <w:pStyle w:val="Compact"/>
      </w:pPr>
      <w:r>
        <w:rPr>
          <w:bCs/>
          <w:b/>
        </w:rPr>
        <w:t xml:space="preserve">Functional Unit:</w:t>
      </w:r>
      <w:r>
        <w:t xml:space="preserve"> </w:t>
      </w:r>
      <w:r>
        <w:t xml:space="preserve">1.0 unit of efzqmflgqo. This represents the reference unit to which all environmental impacts are normalized.</w:t>
      </w:r>
    </w:p>
    <w:p>
      <w:pPr>
        <w:numPr>
          <w:ilvl w:val="0"/>
          <w:numId w:val="1001"/>
        </w:numPr>
        <w:pStyle w:val="Compact"/>
      </w:pPr>
      <w:r>
        <w:rPr>
          <w:bCs/>
          <w:b/>
        </w:rPr>
        <w:t xml:space="preserve">System Boundary:</w:t>
      </w:r>
      <w:r>
        <w:t xml:space="preserve"> </w:t>
      </w:r>
      <w:r>
        <w:t xml:space="preserve">factory_gate. This "cradle-to-gate-plus-use-and-end-of-life" approach covers raw material extraction, pre-processing, manufacturing, transportation to the point of sale, the use phase, and the end-of-life disposal or recycling.</w:t>
      </w:r>
    </w:p>
    <w:p>
      <w:pPr>
        <w:numPr>
          <w:ilvl w:val="0"/>
          <w:numId w:val="1001"/>
        </w:numPr>
        <w:pStyle w:val="Compact"/>
      </w:pPr>
      <w:r>
        <w:rPr>
          <w:bCs/>
          <w:b/>
        </w:rPr>
        <w:t xml:space="preserve">Geographic Scope:</w:t>
      </w:r>
      <w:r>
        <w:t xml:space="preserve"> </w:t>
      </w:r>
      <w:r>
        <w:t xml:space="preserve">Final Production Country: China, Supply Chain Focus: Europe Focused. This dual scope considers both manufacturing emissions in China and the downstream impacts and supply chain influences typically associated with European markets.</w:t>
      </w:r>
    </w:p>
    <w:p>
      <w:pPr>
        <w:numPr>
          <w:ilvl w:val="0"/>
          <w:numId w:val="1001"/>
        </w:numPr>
        <w:pStyle w:val="Compact"/>
      </w:pPr>
      <w:r>
        <w:rPr>
          <w:bCs/>
          <w:b/>
        </w:rPr>
        <w:t xml:space="preserve">Allocation:</w:t>
      </w:r>
      <w:r>
        <w:t xml:space="preserve"> </w:t>
      </w:r>
      <w:r>
        <w:t xml:space="preserve">Where necessary, emissions have been allocated based on mass or economic value, in line with GHG Protocol guidance. Specific allocation details for co-products were not required based on the provided data.</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w:t>
      </w:r>
      <w:r>
        <w:t xml:space="preserve"> </w:t>
      </w:r>
      <w:r>
        <w:t xml:space="preserve">Corporate Accounting and Reporting Standard and the Corporate Value Chain (Scope 3) Accounting and Reporting Standard.</w:t>
      </w:r>
    </w:p>
    <w:p>
      <w:pPr>
        <w:numPr>
          <w:ilvl w:val="0"/>
          <w:numId w:val="1001"/>
        </w:numPr>
        <w:pStyle w:val="Compact"/>
      </w:pPr>
      <w:r>
        <w:rPr>
          <w:bCs/>
          <w:b/>
        </w:rPr>
        <w:t xml:space="preserve">2026 LSR Update Application:</w:t>
      </w:r>
      <w:r>
        <w:t xml:space="preserve"> </w:t>
      </w:r>
      <w:r>
        <w:t xml:space="preserve">The analysis acknowledges and theoretically applies the GHG Protocol\'s Land Sector and Removals (LSR) Standard, which takes effect January 1, 2027. This standard provides crucial guidance for accounting for land sector emissions (e.g., land use change, biogenic carbon) and carbon removals. While specific land use data for efzqmflgqo\'s components were not provided, future iterations will integrate these requirements for relevant materials. The accompanying guidance is expected in Q2 2026.</w:t>
      </w:r>
    </w:p>
    <w:p>
      <w:pPr>
        <w:numPr>
          <w:ilvl w:val="0"/>
          <w:numId w:val="1001"/>
        </w:numPr>
        <w:pStyle w:val="Compact"/>
      </w:pPr>
      <w:r>
        <w:rPr>
          <w:bCs/>
          <w:b/>
        </w:rPr>
        <w:t xml:space="preserve">Scope 3 Compliance:</w:t>
      </w:r>
      <w:r>
        <w:t xml:space="preserve"> </w:t>
      </w:r>
      <w:r>
        <w:t xml:space="preserve">In accordance with the proposed 2026 GHG Protocol requirements, efforts have been made to ensure at least 95% coverage for Scope 3 reporting. This means that all significant value chain emissions have been quantified and included. Any justified exclusions, if present, would be transparently disclosed and quantified to remain within the 5% threshold.</w:t>
      </w:r>
    </w:p>
    <w:bookmarkEnd w:id="23"/>
    <w:p>
      <w:r>
        <w:pict>
          <v:rect style="width:0;height:1.5pt" o:hralign="center" o:hrstd="t" o:hr="t"/>
        </w:pict>
      </w:r>
    </w:p>
    <w:bookmarkStart w:id="29" w:name="lifecycle-mapping-and-data-collection"/>
    <w:p>
      <w:pPr>
        <w:pStyle w:val="Heading2"/>
      </w:pPr>
      <w:r>
        <w:t xml:space="preserve">2. &amp; 3. Lifecycle Mapping and Data Collection</w:t>
      </w:r>
    </w:p>
    <w:p>
      <w:pPr>
        <w:pStyle w:val="FirstParagraph"/>
      </w:pPr>
      <w:r>
        <w:t xml:space="preserve">The lifecycle of efzqmflgqo is segmented into distinct stages to comprehensively capture all relevant emissions. Data collection involved both primary (provided parameters) and secondary (industry-standard emission factors) sources.</w:t>
      </w:r>
    </w:p>
    <w:bookmarkStart w:id="24" w:name="Xbb84b916775ed9cf93f0ef13a25ea7fe0caae6d"/>
    <w:p>
      <w:pPr>
        <w:pStyle w:val="Heading3"/>
      </w:pPr>
      <w:r>
        <w:t xml:space="preserve">Detailed Bill of Materials (BOM) - sgihdxoj</w:t>
      </w:r>
    </w:p>
    <w:p>
      <w:pPr>
        <w:pStyle w:val="FirstParagraph"/>
      </w:pPr>
      <w:r>
        <w:t xml:space="preserve">The provided Detailed Bill of Materials (BOM) for efzqmflgqo forms the basis for high-accuracy material impact calculation. The \'Total Carbon\' values represent the embedded emissions (including raw material extraction and pre-processing) for each component, making them crucial inputs for the analysis.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bl>
    <w:bookmarkEnd w:id="24"/>
    <w:bookmarkStart w:id="25" w:name="energy-inputs-production-phase"/>
    <w:p>
      <w:pPr>
        <w:pStyle w:val="Heading3"/>
      </w:pPr>
      <w:r>
        <w:t xml:space="preserve">Energy Inputs (Production Phase)</w:t>
      </w:r>
    </w:p>
    <w:p>
      <w:pPr>
        <w:numPr>
          <w:ilvl w:val="0"/>
          <w:numId w:val="1002"/>
        </w:numPr>
        <w:pStyle w:val="Compact"/>
      </w:pPr>
      <w:r>
        <w:rPr>
          <w:bCs/>
          <w:b/>
        </w:rPr>
        <w:t xml:space="preserve">Energy Intensity (kWh/unit):</w:t>
      </w:r>
      <w:r>
        <w:t xml:space="preserve"> </w:t>
      </w:r>
      <w:r>
        <w:t xml:space="preserve">zpugxnmvdm (5.0 kWh/unit)</w:t>
      </w:r>
    </w:p>
    <w:p>
      <w:pPr>
        <w:numPr>
          <w:ilvl w:val="0"/>
          <w:numId w:val="1002"/>
        </w:numPr>
        <w:pStyle w:val="Compact"/>
      </w:pPr>
      <w:r>
        <w:rPr>
          <w:bCs/>
          <w:b/>
        </w:rPr>
        <w:t xml:space="preserve">Renewable Energy Usage:</w:t>
      </w:r>
      <w:r>
        <w:t xml:space="preserve"> </w:t>
      </w:r>
      <w:r>
        <w:t xml:space="preserve">rfneopdhje (75%)</w:t>
      </w:r>
    </w:p>
    <w:p>
      <w:pPr>
        <w:numPr>
          <w:ilvl w:val="0"/>
          <w:numId w:val="1002"/>
        </w:numPr>
        <w:pStyle w:val="Compact"/>
      </w:pPr>
      <w:r>
        <w:rPr>
          <w:bCs/>
          <w:b/>
        </w:rPr>
        <w:t xml:space="preserve">Grid Electricity Emission Factor (China):</w:t>
      </w:r>
      <w:r>
        <w:t xml:space="preserve"> </w:t>
      </w:r>
      <w:r>
        <w:t xml:space="preserve">0.6205 kg CO2e/kWh (national average carbon footprint factor for 2023, including life cycle emissions)</w:t>
      </w:r>
    </w:p>
    <w:bookmarkEnd w:id="25"/>
    <w:bookmarkStart w:id="26" w:name="logistics-data-supply-chain"/>
    <w:p>
      <w:pPr>
        <w:pStyle w:val="Heading3"/>
      </w:pPr>
      <w:r>
        <w:t xml:space="preserve">Logistics Data (Supply Chain)</w:t>
      </w:r>
    </w:p>
    <w:p>
      <w:pPr>
        <w:numPr>
          <w:ilvl w:val="0"/>
          <w:numId w:val="1003"/>
        </w:numPr>
        <w:pStyle w:val="Compact"/>
      </w:pPr>
      <w:r>
        <w:rPr>
          <w:bCs/>
          <w:b/>
        </w:rPr>
        <w:t xml:space="preserve">Product Weight for Transport (calculated from BOM):</w:t>
      </w:r>
      <w:r>
        <w:t xml:space="preserve"> </w:t>
      </w:r>
      <w:r>
        <w:t xml:space="preserve">1.05 kg (0.00105 tonnes)</w:t>
      </w:r>
    </w:p>
    <w:p>
      <w:pPr>
        <w:numPr>
          <w:ilvl w:val="0"/>
          <w:numId w:val="1003"/>
        </w:numPr>
        <w:pStyle w:val="Compact"/>
      </w:pPr>
      <w:r>
        <w:rPr>
          <w:bCs/>
          <w:b/>
        </w:rPr>
        <w:t xml:space="preserve">Main Transport Mode (from China):</w:t>
      </w:r>
      <w:r>
        <w:t xml:space="preserve"> </w:t>
      </w:r>
      <w:r>
        <w:t xml:space="preserve">Select Mode (assumed Ocean Freight for long-distance international transport)</w:t>
      </w:r>
    </w:p>
    <w:p>
      <w:pPr>
        <w:numPr>
          <w:ilvl w:val="0"/>
          <w:numId w:val="1003"/>
        </w:numPr>
        <w:pStyle w:val="Compact"/>
      </w:pPr>
      <w:r>
        <w:rPr>
          <w:bCs/>
          <w:b/>
        </w:rPr>
        <w:t xml:space="preserve">Transport Distance:</w:t>
      </w:r>
      <w:r>
        <w:t xml:space="preserve"> </w:t>
      </w:r>
      <w:r>
        <w:t xml:space="preserve">nuvyltdyey (10,000 km)</w:t>
      </w:r>
    </w:p>
    <w:p>
      <w:pPr>
        <w:numPr>
          <w:ilvl w:val="0"/>
          <w:numId w:val="1003"/>
        </w:numPr>
        <w:pStyle w:val="Compact"/>
      </w:pPr>
      <w:r>
        <w:rPr>
          <w:bCs/>
          <w:b/>
        </w:rPr>
        <w:t xml:space="preserve">Ocean Freight Emission Factor:</w:t>
      </w:r>
      <w:r>
        <w:t xml:space="preserve"> </w:t>
      </w:r>
      <w:r>
        <w:t xml:space="preserve">0.016 kg CO2e/tkm</w:t>
      </w:r>
    </w:p>
    <w:p>
      <w:pPr>
        <w:numPr>
          <w:ilvl w:val="0"/>
          <w:numId w:val="1003"/>
        </w:numPr>
        <w:pStyle w:val="Compact"/>
      </w:pPr>
      <w:r>
        <w:rPr>
          <w:bCs/>
          <w:b/>
        </w:rPr>
        <w:t xml:space="preserve">Last-Mile Delivery Channel:</w:t>
      </w:r>
      <w:r>
        <w:t xml:space="preserve"> </w:t>
      </w:r>
      <w:r>
        <w:t xml:space="preserve">Delivery Type (assumed Road Freight (Van) for distribution)</w:t>
      </w:r>
    </w:p>
    <w:p>
      <w:pPr>
        <w:numPr>
          <w:ilvl w:val="0"/>
          <w:numId w:val="1003"/>
        </w:numPr>
        <w:pStyle w:val="Compact"/>
      </w:pPr>
      <w:r>
        <w:rPr>
          <w:bCs/>
          <w:b/>
        </w:rPr>
        <w:t xml:space="preserve">Last-Mile Delivery Distance (assumed):</w:t>
      </w:r>
      <w:r>
        <w:t xml:space="preserve"> </w:t>
      </w:r>
      <w:r>
        <w:t xml:space="preserve">500 km (generic assumption)</w:t>
      </w:r>
    </w:p>
    <w:p>
      <w:pPr>
        <w:numPr>
          <w:ilvl w:val="0"/>
          <w:numId w:val="1003"/>
        </w:numPr>
        <w:pStyle w:val="Compact"/>
      </w:pPr>
      <w:r>
        <w:rPr>
          <w:bCs/>
          <w:b/>
        </w:rPr>
        <w:t xml:space="preserve">Road Freight (Van) Emission Factor:</w:t>
      </w:r>
      <w:r>
        <w:t xml:space="preserve"> </w:t>
      </w:r>
      <w:r>
        <w:t xml:space="preserve">0.06 kg CO2e/tkm (conservative estimate)</w:t>
      </w:r>
    </w:p>
    <w:bookmarkEnd w:id="26"/>
    <w:bookmarkStart w:id="27"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zdgepxsqny (5 years)</w:t>
      </w:r>
    </w:p>
    <w:p>
      <w:pPr>
        <w:numPr>
          <w:ilvl w:val="0"/>
          <w:numId w:val="1004"/>
        </w:numPr>
        <w:pStyle w:val="Compact"/>
      </w:pPr>
      <w:r>
        <w:rPr>
          <w:bCs/>
          <w:b/>
        </w:rPr>
        <w:t xml:space="preserve">Energy Consumption in Use:</w:t>
      </w:r>
      <w:r>
        <w:t xml:space="preserve"> </w:t>
      </w:r>
      <w:r>
        <w:t xml:space="preserve">tpokmniivg (20.0 kWh over lifespan)</w:t>
      </w:r>
    </w:p>
    <w:p>
      <w:pPr>
        <w:numPr>
          <w:ilvl w:val="0"/>
          <w:numId w:val="1004"/>
        </w:numPr>
        <w:pStyle w:val="Compact"/>
      </w:pPr>
      <w:r>
        <w:rPr>
          <w:bCs/>
          <w:b/>
        </w:rPr>
        <w:t xml:space="preserve">Electricity Emission Factor (EU Average for Use Phase):</w:t>
      </w:r>
      <w:r>
        <w:t xml:space="preserve"> </w:t>
      </w:r>
      <w:r>
        <w:t xml:space="preserve">0.20 kg CO2e/kWh (average from 2023/2024 EU data)</w:t>
      </w:r>
    </w:p>
    <w:bookmarkEnd w:id="27"/>
    <w:bookmarkStart w:id="28" w:name="end-of-life-eol-data"/>
    <w:p>
      <w:pPr>
        <w:pStyle w:val="Heading3"/>
      </w:pPr>
      <w:r>
        <w:t xml:space="preserve">End-of-Life (EoL) Data</w:t>
      </w:r>
    </w:p>
    <w:p>
      <w:pPr>
        <w:numPr>
          <w:ilvl w:val="0"/>
          <w:numId w:val="1005"/>
        </w:numPr>
        <w:pStyle w:val="Compact"/>
      </w:pPr>
      <w:r>
        <w:rPr>
          <w:bCs/>
          <w:b/>
        </w:rPr>
        <w:t xml:space="preserve">Recyclability Percentage:</w:t>
      </w:r>
      <w:r>
        <w:t xml:space="preserve"> </w:t>
      </w:r>
      <w:r>
        <w:t xml:space="preserve">tgruxfrsfd (80%)</w:t>
      </w:r>
    </w:p>
    <w:p>
      <w:pPr>
        <w:numPr>
          <w:ilvl w:val="0"/>
          <w:numId w:val="1005"/>
        </w:numPr>
        <w:pStyle w:val="Compact"/>
      </w:pPr>
      <w:r>
        <w:rPr>
          <w:bCs/>
          <w:b/>
        </w:rPr>
        <w:t xml:space="preserve">Circular/Take-back Programs:</w:t>
      </w:r>
      <w:r>
        <w:t xml:space="preserve"> </w:t>
      </w:r>
      <w:r>
        <w:t xml:space="preserve">hnilmmtvfs (Product take-back scheme implemented for key components)</w:t>
      </w:r>
    </w:p>
    <w:p>
      <w:pPr>
        <w:numPr>
          <w:ilvl w:val="0"/>
          <w:numId w:val="1005"/>
        </w:numPr>
        <w:pStyle w:val="Compact"/>
      </w:pPr>
      <w:r>
        <w:rPr>
          <w:bCs/>
          <w:b/>
        </w:rPr>
        <w:t xml:space="preserve">General Landfill Emission Factor:</w:t>
      </w:r>
      <w:r>
        <w:t xml:space="preserve"> </w:t>
      </w:r>
      <w:r>
        <w:t xml:space="preserve">0.8 kg CO2e/kg (for mixed non-recycled waste)</w:t>
      </w:r>
    </w:p>
    <w:p>
      <w:pPr>
        <w:numPr>
          <w:ilvl w:val="0"/>
          <w:numId w:val="1005"/>
        </w:numPr>
        <w:pStyle w:val="Compact"/>
      </w:pPr>
      <w:r>
        <w:rPr>
          <w:bCs/>
          <w:b/>
        </w:rPr>
        <w:t xml:space="preserve">Recycling Credit Assumption:</w:t>
      </w:r>
      <w:r>
        <w:t xml:space="preserve"> </w:t>
      </w:r>
      <w:r>
        <w:t xml:space="preserve">70% avoidance of virgin material emissions for recycled portion.</w:t>
      </w:r>
    </w:p>
    <w:bookmarkEnd w:id="28"/>
    <w:bookmarkEnd w:id="29"/>
    <w:p>
      <w:r>
        <w:pict>
          <v:rect style="width:0;height:1.5pt" o:hralign="center" o:hrstd="t" o:hr="t"/>
        </w:pict>
      </w:r>
    </w:p>
    <w:bookmarkStart w:id="38" w:name="Xdd1c2ba429305467bad58a0828410d9d0fce25c"/>
    <w:p>
      <w:pPr>
        <w:pStyle w:val="Heading2"/>
      </w:pPr>
      <w:r>
        <w:t xml:space="preserve">4. Emissions Calculation (Activity * Emission Factor = CO2e)</w:t>
      </w:r>
    </w:p>
    <w:p>
      <w:pPr>
        <w:pStyle w:val="FirstParagraph"/>
      </w:pPr>
      <w:r>
        <w:t xml:space="preserve">This section details the calculation of Greenhouse Gas (GHG) emissions across the product\'s lifecycle, categorized according to the GHG Protocol.</w:t>
      </w:r>
    </w:p>
    <w:bookmarkStart w:id="30" w:name="scope-1-direct-emissions"/>
    <w:p>
      <w:pPr>
        <w:pStyle w:val="Heading3"/>
      </w:pPr>
      <w:r>
        <w:t xml:space="preserve">Scope 1: Direct Emissions</w:t>
      </w:r>
    </w:p>
    <w:p>
      <w:pPr>
        <w:pStyle w:val="FirstParagraph"/>
      </w:pPr>
      <w:r>
        <w:t xml:space="preserve">For this Product Carbon Footprint analysis, direct (Scope 1) emissions from company-owned or controlled sources directly related to the production of efzqmflgqo are considered negligible or zero, as the primary energy input for manufacturing is purchased electricity. No direct process emissions from fuel combustion on-site were explicitly identified in the provided parameters.</w:t>
      </w:r>
    </w:p>
    <w:bookmarkEnd w:id="30"/>
    <w:bookmarkStart w:id="31" w:name="scope-2-purchased-energy-emissions"/>
    <w:p>
      <w:pPr>
        <w:pStyle w:val="Heading3"/>
      </w:pPr>
      <w:r>
        <w:t xml:space="preserve">Scope 2: Purchased Energy Emissions</w:t>
      </w:r>
    </w:p>
    <w:p>
      <w:pPr>
        <w:pStyle w:val="FirstParagraph"/>
      </w:pPr>
      <w:r>
        <w:t xml:space="preserve">Emissions from the generation of purchased electricity consumed during the manufacturing phase.</w:t>
      </w:r>
    </w:p>
    <w:p>
      <w:pPr>
        <w:numPr>
          <w:ilvl w:val="0"/>
          <w:numId w:val="1006"/>
        </w:numPr>
        <w:pStyle w:val="Compact"/>
      </w:pPr>
      <w:r>
        <w:t xml:space="preserve">Energy Intensity: 5.0 kWh/unit</w:t>
      </w:r>
    </w:p>
    <w:p>
      <w:pPr>
        <w:numPr>
          <w:ilvl w:val="0"/>
          <w:numId w:val="1006"/>
        </w:numPr>
        <w:pStyle w:val="Compact"/>
      </w:pPr>
      <w:r>
        <w:t xml:space="preserve">Renewable Energy Usage: 75%</w:t>
      </w:r>
    </w:p>
    <w:p>
      <w:pPr>
        <w:numPr>
          <w:ilvl w:val="0"/>
          <w:numId w:val="1006"/>
        </w:numPr>
        <w:pStyle w:val="Compact"/>
      </w:pPr>
      <w:r>
        <w:t xml:space="preserve">Non-renewable electricity consumption: 5.0 kWh/unit * (1 - 0.75) = 1.25 kWh/unit</w:t>
      </w:r>
    </w:p>
    <w:p>
      <w:pPr>
        <w:numPr>
          <w:ilvl w:val="0"/>
          <w:numId w:val="1006"/>
        </w:numPr>
        <w:pStyle w:val="Compact"/>
      </w:pPr>
      <w:r>
        <w:t xml:space="preserve">China Grid Electricity Emission Factor: 0.6205 kg CO2e/kWh</w:t>
      </w:r>
    </w:p>
    <w:p>
      <w:pPr>
        <w:numPr>
          <w:ilvl w:val="0"/>
          <w:numId w:val="1006"/>
        </w:numPr>
        <w:pStyle w:val="Compact"/>
      </w:pPr>
      <w:r>
        <w:rPr>
          <w:bCs/>
          <w:b/>
        </w:rPr>
        <w:t xml:space="preserve">Manufacturing Emissions (Scope 2):</w:t>
      </w:r>
      <w:r>
        <w:t xml:space="preserve"> </w:t>
      </w:r>
      <w:r>
        <w:t xml:space="preserve">1.25 kWh/unit * 0.6205 kg CO2e/kWh =</w:t>
      </w:r>
      <w:r>
        <w:t xml:space="preserve"> </w:t>
      </w:r>
      <w:r>
        <w:rPr>
          <w:bCs/>
          <w:b/>
        </w:rPr>
        <w:t xml:space="preserve">0.776 kg CO2e/unit</w:t>
      </w:r>
    </w:p>
    <w:bookmarkEnd w:id="31"/>
    <w:bookmarkStart w:id="36" w:name="scope-3-value-chain-emissions"/>
    <w:p>
      <w:pPr>
        <w:pStyle w:val="Heading3"/>
      </w:pPr>
      <w:r>
        <w:t xml:space="preserve">Scope 3: Value Chain Emissions</w:t>
      </w:r>
    </w:p>
    <w:p>
      <w:pPr>
        <w:pStyle w:val="FirstParagraph"/>
      </w:pPr>
      <w:r>
        <w:t xml:space="preserve">These encompass all indirect emissions from the value chain, both upstream and downstream.</w:t>
      </w:r>
    </w:p>
    <w:bookmarkStart w:id="32" w:name="materials-upstream-emissions"/>
    <w:p>
      <w:pPr>
        <w:pStyle w:val="Heading4"/>
      </w:pPr>
      <w:r>
        <w:t xml:space="preserve">Materials (Upstream Emissions)</w:t>
      </w:r>
    </w:p>
    <w:p>
      <w:pPr>
        <w:pStyle w:val="FirstParagraph"/>
      </w:pPr>
      <w:r>
        <w:t xml:space="preserve">Based on the \'Total Carbon\' provided in the Bill of Materials (sgihdxoj), which includes raw material extraction and pre-processing impacts.</w:t>
      </w:r>
    </w:p>
    <w:p>
      <w:pPr>
        <w:numPr>
          <w:ilvl w:val="0"/>
          <w:numId w:val="1007"/>
        </w:numPr>
        <w:pStyle w:val="Compact"/>
      </w:pPr>
      <w:r>
        <w:t xml:space="preserve">Total Carbon from BOM: 1.25 + 0.90 + 1.00 + 0.20 + 0.30 = 3.65 kg CO2e</w:t>
      </w:r>
    </w:p>
    <w:p>
      <w:pPr>
        <w:numPr>
          <w:ilvl w:val="0"/>
          <w:numId w:val="1007"/>
        </w:numPr>
        <w:pStyle w:val="Compact"/>
      </w:pPr>
      <w:r>
        <w:rPr>
          <w:bCs/>
          <w:b/>
        </w:rPr>
        <w:t xml:space="preserve">Total Material Emissions (Scope 3, Category 1 - Purchased goods and services):</w:t>
      </w:r>
      <w:r>
        <w:t xml:space="preserve"> </w:t>
      </w:r>
      <w:r>
        <w:rPr>
          <w:bCs/>
          <w:b/>
        </w:rPr>
        <w:t xml:space="preserve">3.65 kg CO2e/unit</w:t>
      </w:r>
    </w:p>
    <w:bookmarkEnd w:id="32"/>
    <w:bookmarkStart w:id="33" w:name="transport-upstream-downstream-emissions"/>
    <w:p>
      <w:pPr>
        <w:pStyle w:val="Heading4"/>
      </w:pPr>
      <w:r>
        <w:t xml:space="preserve">Transport (Upstream &amp; Downstream Emissions)</w:t>
      </w:r>
    </w:p>
    <w:p>
      <w:pPr>
        <w:numPr>
          <w:ilvl w:val="0"/>
          <w:numId w:val="1008"/>
        </w:numPr>
        <w:pStyle w:val="Compact"/>
      </w:pPr>
      <w:r>
        <w:t xml:space="preserve">Product weight for transport: 1.05 kg = 0.00105 tonnes</w:t>
      </w:r>
    </w:p>
    <w:p>
      <w:pPr>
        <w:numPr>
          <w:ilvl w:val="0"/>
          <w:numId w:val="1008"/>
        </w:numPr>
        <w:pStyle w:val="Compact"/>
      </w:pPr>
      <w:r>
        <w:rPr>
          <w:bCs/>
          <w:b/>
        </w:rPr>
        <w:t xml:space="preserve">Main Transport (Ocean Freight - assumed from China to Europe):</w:t>
      </w:r>
    </w:p>
    <w:p>
      <w:pPr>
        <w:numPr>
          <w:ilvl w:val="1"/>
          <w:numId w:val="1009"/>
        </w:numPr>
        <w:pStyle w:val="Compact"/>
      </w:pPr>
      <w:r>
        <w:t xml:space="preserve">Distance: 10,000 km</w:t>
      </w:r>
    </w:p>
    <w:p>
      <w:pPr>
        <w:numPr>
          <w:ilvl w:val="1"/>
          <w:numId w:val="1009"/>
        </w:numPr>
        <w:pStyle w:val="Compact"/>
      </w:pPr>
      <w:r>
        <w:t xml:space="preserve">Emission Factor: 0.016 kg CO2e/tkm</w:t>
      </w:r>
    </w:p>
    <w:p>
      <w:pPr>
        <w:numPr>
          <w:ilvl w:val="1"/>
          <w:numId w:val="1009"/>
        </w:numPr>
        <w:pStyle w:val="Compact"/>
      </w:pPr>
      <w:r>
        <w:t xml:space="preserve">Emissions: 0.00105 tonnes * 10,000 km * 0.016 kg CO2e/tkm = 0.168 kg CO2e</w:t>
      </w:r>
    </w:p>
    <w:p>
      <w:pPr>
        <w:numPr>
          <w:ilvl w:val="0"/>
          <w:numId w:val="1008"/>
        </w:numPr>
        <w:pStyle w:val="Compact"/>
      </w:pPr>
      <w:r>
        <w:rPr>
          <w:bCs/>
          <w:b/>
        </w:rPr>
        <w:t xml:space="preserve">Last-Mile Delivery (Road Freight (Van) - assumed distribution in Europe):</w:t>
      </w:r>
    </w:p>
    <w:p>
      <w:pPr>
        <w:numPr>
          <w:ilvl w:val="1"/>
          <w:numId w:val="1010"/>
        </w:numPr>
        <w:pStyle w:val="Compact"/>
      </w:pPr>
      <w:r>
        <w:t xml:space="preserve">Assumed Distance: 500 km</w:t>
      </w:r>
    </w:p>
    <w:p>
      <w:pPr>
        <w:numPr>
          <w:ilvl w:val="1"/>
          <w:numId w:val="1010"/>
        </w:numPr>
        <w:pStyle w:val="Compact"/>
      </w:pPr>
      <w:r>
        <w:t xml:space="preserve">Emission Factor: 0.06 kg CO2e/tkm</w:t>
      </w:r>
    </w:p>
    <w:p>
      <w:pPr>
        <w:numPr>
          <w:ilvl w:val="1"/>
          <w:numId w:val="1010"/>
        </w:numPr>
        <w:pStyle w:val="Compact"/>
      </w:pPr>
      <w:r>
        <w:t xml:space="preserve">Emissions: 0.00105 tonnes * 500 km * 0.06 kg CO2e/tkm = 0.032 kg CO2e</w:t>
      </w:r>
    </w:p>
    <w:p>
      <w:pPr>
        <w:numPr>
          <w:ilvl w:val="0"/>
          <w:numId w:val="1008"/>
        </w:numPr>
        <w:pStyle w:val="Compact"/>
      </w:pPr>
      <w:r>
        <w:rPr>
          <w:bCs/>
          <w:b/>
        </w:rPr>
        <w:t xml:space="preserve">Total Transport Emissions (Scope 3, Category 4 - Upstream transportation &amp; distribution / Category 9 - Downstream transportation &amp; distribution):</w:t>
      </w:r>
      <w:r>
        <w:t xml:space="preserve"> </w:t>
      </w:r>
      <w:r>
        <w:t xml:space="preserve">0.168 + 0.032 =</w:t>
      </w:r>
      <w:r>
        <w:t xml:space="preserve"> </w:t>
      </w:r>
      <w:r>
        <w:rPr>
          <w:bCs/>
          <w:b/>
        </w:rPr>
        <w:t xml:space="preserve">0.200 kg CO2e/unit</w:t>
      </w:r>
    </w:p>
    <w:bookmarkEnd w:id="33"/>
    <w:bookmarkStart w:id="34" w:name="use-phase-downstream-emissions"/>
    <w:p>
      <w:pPr>
        <w:pStyle w:val="Heading4"/>
      </w:pPr>
      <w:r>
        <w:t xml:space="preserve">Use Phase (Downstream Emissions)</w:t>
      </w:r>
    </w:p>
    <w:p>
      <w:pPr>
        <w:pStyle w:val="FirstParagraph"/>
      </w:pPr>
      <w:r>
        <w:t xml:space="preserve">Emissions from the energy consumed by the product during its lifespan.</w:t>
      </w:r>
    </w:p>
    <w:p>
      <w:pPr>
        <w:numPr>
          <w:ilvl w:val="0"/>
          <w:numId w:val="1011"/>
        </w:numPr>
        <w:pStyle w:val="Compact"/>
      </w:pPr>
      <w:r>
        <w:t xml:space="preserve">Product Lifespan: 5 years</w:t>
      </w:r>
    </w:p>
    <w:p>
      <w:pPr>
        <w:numPr>
          <w:ilvl w:val="0"/>
          <w:numId w:val="1011"/>
        </w:numPr>
        <w:pStyle w:val="Compact"/>
      </w:pPr>
      <w:r>
        <w:t xml:space="preserve">Total Energy Consumption in Use: 20.0 kWh over lifespan</w:t>
      </w:r>
    </w:p>
    <w:p>
      <w:pPr>
        <w:numPr>
          <w:ilvl w:val="0"/>
          <w:numId w:val="1011"/>
        </w:numPr>
        <w:pStyle w:val="Compact"/>
      </w:pPr>
      <w:r>
        <w:t xml:space="preserve">EU Average Electricity Emission Factor (for use phase): 0.20 kg CO2e/kWh</w:t>
      </w:r>
    </w:p>
    <w:p>
      <w:pPr>
        <w:numPr>
          <w:ilvl w:val="0"/>
          <w:numId w:val="1011"/>
        </w:numPr>
        <w:pStyle w:val="Compact"/>
      </w:pPr>
      <w:r>
        <w:rPr>
          <w:bCs/>
          <w:b/>
        </w:rPr>
        <w:t xml:space="preserve">Use Phase Emissions (Scope 3, Category 11 - Use of sold products):</w:t>
      </w:r>
      <w:r>
        <w:t xml:space="preserve"> </w:t>
      </w:r>
      <w:r>
        <w:t xml:space="preserve">20.0 kWh * 0.20 kg CO2e/kWh =</w:t>
      </w:r>
      <w:r>
        <w:t xml:space="preserve"> </w:t>
      </w:r>
      <w:r>
        <w:rPr>
          <w:bCs/>
          <w:b/>
        </w:rPr>
        <w:t xml:space="preserve">4.000 kg CO2e/unit</w:t>
      </w:r>
    </w:p>
    <w:bookmarkEnd w:id="34"/>
    <w:bookmarkStart w:id="35" w:name="X7c17fc544149933f0a469f3720f3182104301a1"/>
    <w:p>
      <w:pPr>
        <w:pStyle w:val="Heading4"/>
      </w:pPr>
      <w:r>
        <w:t xml:space="preserve">End-of-Life (EoL) Scenarios (Downstream Emissions)</w:t>
      </w:r>
    </w:p>
    <w:p>
      <w:pPr>
        <w:pStyle w:val="FirstParagraph"/>
      </w:pPr>
      <w:r>
        <w:t xml:space="preserve">Impacts from disposal and recycling, including benefits from circular economy programs.</w:t>
      </w:r>
    </w:p>
    <w:p>
      <w:pPr>
        <w:numPr>
          <w:ilvl w:val="0"/>
          <w:numId w:val="1012"/>
        </w:numPr>
        <w:pStyle w:val="Compact"/>
      </w:pPr>
      <w:r>
        <w:t xml:space="preserve">Total material mass at EoL: 1.05 kg</w:t>
      </w:r>
    </w:p>
    <w:p>
      <w:pPr>
        <w:numPr>
          <w:ilvl w:val="0"/>
          <w:numId w:val="1012"/>
        </w:numPr>
        <w:pStyle w:val="Compact"/>
      </w:pPr>
      <w:r>
        <w:t xml:space="preserve">Recyclability Percentage: 80%</w:t>
      </w:r>
    </w:p>
    <w:p>
      <w:pPr>
        <w:numPr>
          <w:ilvl w:val="0"/>
          <w:numId w:val="1012"/>
        </w:numPr>
        <w:pStyle w:val="Compact"/>
      </w:pPr>
      <w:r>
        <w:t xml:space="preserve">Disposed Portion: 1.05 kg * (1 - 0.80) = 0.21 kg</w:t>
      </w:r>
    </w:p>
    <w:p>
      <w:pPr>
        <w:numPr>
          <w:ilvl w:val="0"/>
          <w:numId w:val="1012"/>
        </w:numPr>
        <w:pStyle w:val="Compact"/>
      </w:pPr>
      <w:r>
        <w:t xml:space="preserve">Recycled Portion: 1.05 kg * 0.80 = 0.84 kg</w:t>
      </w:r>
    </w:p>
    <w:p>
      <w:pPr>
        <w:numPr>
          <w:ilvl w:val="0"/>
          <w:numId w:val="1012"/>
        </w:numPr>
        <w:pStyle w:val="Compact"/>
      </w:pPr>
      <w:r>
        <w:t xml:space="preserve">Disposal Burden (for 20% to landfill): 0.21 kg * 0.8 kg CO2e/kg = 0.168 kg CO2e</w:t>
      </w:r>
    </w:p>
    <w:p>
      <w:pPr>
        <w:numPr>
          <w:ilvl w:val="0"/>
          <w:numId w:val="1012"/>
        </w:numPr>
        <w:pStyle w:val="Compact"/>
      </w:pPr>
      <w:r>
        <w:t xml:space="preserve">Recycling Credit (for 80% recycled - assumed 70% avoidance of virgin material emissions): (0.84 kg / 1.05 kg) * 3.65 kg CO2e (original material footprint) * 0.70 = -1.946 kg CO2e (negative value indicates a saving)</w:t>
      </w:r>
    </w:p>
    <w:p>
      <w:pPr>
        <w:numPr>
          <w:ilvl w:val="0"/>
          <w:numId w:val="1012"/>
        </w:numPr>
        <w:pStyle w:val="Compact"/>
      </w:pPr>
      <w:r>
        <w:rPr>
          <w:bCs/>
          <w:b/>
        </w:rPr>
        <w:t xml:space="preserve">Net End-of-Life Impact (Scope 3, Category 12 - End-of-life treatment of sold products):</w:t>
      </w:r>
      <w:r>
        <w:t xml:space="preserve"> </w:t>
      </w:r>
      <w:r>
        <w:t xml:space="preserve">0.168 - 1.946 =</w:t>
      </w:r>
      <w:r>
        <w:t xml:space="preserve"> </w:t>
      </w:r>
      <w:r>
        <w:rPr>
          <w:bCs/>
          <w:b/>
        </w:rPr>
        <w:t xml:space="preserve">-1.778 kg CO2e/unit</w:t>
      </w:r>
    </w:p>
    <w:bookmarkEnd w:id="35"/>
    <w:bookmarkEnd w:id="36"/>
    <w:bookmarkStart w:id="37" w:name="X299a3717db401fbc63eac38de0814f3ad8939f4"/>
    <w:p>
      <w:pPr>
        <w:pStyle w:val="Heading3"/>
      </w:pPr>
      <w:r>
        <w:t xml:space="preserve">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w:t>
            </w:r>
          </w:p>
        </w:tc>
        <w:tc>
          <w:tcPr/>
          <w:p>
            <w:pPr>
              <w:pStyle w:val="Compact"/>
              <w:jc w:val="left"/>
            </w:pPr>
            <w:r>
              <w:t xml:space="preserve">Scope 3</w:t>
            </w:r>
          </w:p>
        </w:tc>
        <w:tc>
          <w:tcPr/>
          <w:p>
            <w:pPr>
              <w:pStyle w:val="Compact"/>
              <w:jc w:val="left"/>
            </w:pPr>
            <w:r>
              <w:t xml:space="preserve">3.650</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0.776</w:t>
            </w:r>
          </w:p>
        </w:tc>
      </w:tr>
      <w:tr>
        <w:tc>
          <w:tcPr/>
          <w:p>
            <w:pPr>
              <w:pStyle w:val="Compact"/>
              <w:jc w:val="left"/>
            </w:pPr>
            <w:r>
              <w:t xml:space="preserve">Transport (Upstream &amp; Downstream)</w:t>
            </w:r>
          </w:p>
        </w:tc>
        <w:tc>
          <w:tcPr/>
          <w:p>
            <w:pPr>
              <w:pStyle w:val="Compact"/>
              <w:jc w:val="left"/>
            </w:pPr>
            <w:r>
              <w:t xml:space="preserve">Scope 3</w:t>
            </w:r>
          </w:p>
        </w:tc>
        <w:tc>
          <w:tcPr/>
          <w:p>
            <w:pPr>
              <w:pStyle w:val="Compact"/>
              <w:jc w:val="left"/>
            </w:pPr>
            <w:r>
              <w:t xml:space="preserve">0.200</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4.000</w:t>
            </w:r>
          </w:p>
        </w:tc>
      </w:tr>
      <w:tr>
        <w:tc>
          <w:tcPr/>
          <w:p>
            <w:pPr>
              <w:pStyle w:val="Compact"/>
              <w:jc w:val="left"/>
            </w:pPr>
            <w:r>
              <w:t xml:space="preserve">End-of-Life (Net)</w:t>
            </w:r>
          </w:p>
        </w:tc>
        <w:tc>
          <w:tcPr/>
          <w:p>
            <w:pPr>
              <w:pStyle w:val="Compact"/>
              <w:jc w:val="left"/>
            </w:pPr>
            <w:r>
              <w:t xml:space="preserve">Scope 3</w:t>
            </w:r>
          </w:p>
        </w:tc>
        <w:tc>
          <w:tcPr/>
          <w:p>
            <w:pPr>
              <w:pStyle w:val="Compact"/>
              <w:jc w:val="left"/>
            </w:pPr>
            <w:r>
              <w:t xml:space="preserve">-1.778</w:t>
            </w:r>
          </w:p>
        </w:tc>
      </w:tr>
      <w:tr>
        <w:tc>
          <w:tcPr/>
          <w:p>
            <w:pPr>
              <w:pStyle w:val="Compact"/>
              <w:jc w:val="left"/>
            </w:pPr>
            <w:r>
              <w:t xml:space="preserve">Total PCF</w:t>
            </w:r>
          </w:p>
        </w:tc>
        <w:tc>
          <w:tcPr/>
          <w:p>
            <w:pPr>
              <w:pStyle w:val="Compact"/>
            </w:pPr>
          </w:p>
        </w:tc>
        <w:tc>
          <w:tcPr/>
          <w:p>
            <w:pPr>
              <w:pStyle w:val="Compact"/>
              <w:jc w:val="left"/>
            </w:pPr>
            <w:r>
              <w:t xml:space="preserve">6.848</w:t>
            </w:r>
          </w:p>
        </w:tc>
      </w:tr>
    </w:tbl>
    <w:p>
      <w:pPr>
        <w:pStyle w:val="BodyText"/>
      </w:pPr>
      <w:r>
        <w:t xml:space="preserve">The total Product Carbon Footprint for efzqmflgqo is approximately</w:t>
      </w:r>
      <w:r>
        <w:t xml:space="preserve"> </w:t>
      </w:r>
      <w:r>
        <w:rPr>
          <w:bCs/>
          <w:b/>
        </w:rPr>
        <w:t xml:space="preserve">6.85 kg CO2e per functional unit</w:t>
      </w:r>
      <w:r>
        <w:t xml:space="preserve">.</w:t>
      </w:r>
    </w:p>
    <w:bookmarkEnd w:id="37"/>
    <w:bookmarkEnd w:id="38"/>
    <w:p>
      <w:r>
        <w:pict>
          <v:rect style="width:0;height:1.5pt" o:hralign="center" o:hrstd="t" o:hr="t"/>
        </w:pict>
      </w:r>
    </w:p>
    <w:bookmarkStart w:id="43" w:name="review-report"/>
    <w:p>
      <w:pPr>
        <w:pStyle w:val="Heading2"/>
      </w:pPr>
      <w:r>
        <w:t xml:space="preserve">5. Review &amp; Report</w:t>
      </w:r>
    </w:p>
    <w:bookmarkStart w:id="39" w:name="emission-hotspots"/>
    <w:p>
      <w:pPr>
        <w:pStyle w:val="Heading3"/>
      </w:pPr>
      <w:r>
        <w:t xml:space="preserve">Emission Hotspots</w:t>
      </w:r>
    </w:p>
    <w:p>
      <w:pPr>
        <w:pStyle w:val="FirstParagraph"/>
      </w:pPr>
      <w:r>
        <w:t xml:space="preserve">The analysis identifies the following key emission hotspots for efzqmflgqo:</w:t>
      </w:r>
    </w:p>
    <w:p>
      <w:pPr>
        <w:numPr>
          <w:ilvl w:val="0"/>
          <w:numId w:val="1013"/>
        </w:numPr>
        <w:pStyle w:val="Compact"/>
      </w:pPr>
      <w:r>
        <w:rPr>
          <w:bCs/>
          <w:b/>
        </w:rPr>
        <w:t xml:space="preserve">Use Phase (4.000 kg CO2e):</w:t>
      </w:r>
      <w:r>
        <w:t xml:space="preserve"> </w:t>
      </w:r>
      <w:r>
        <w:t xml:space="preserve">This is the most significant contributor to the overall footprint, accounting for approximately 58% of the total emissions. This highlights the importance of the energy consumption during the product\'s lifespan.</w:t>
      </w:r>
    </w:p>
    <w:p>
      <w:pPr>
        <w:numPr>
          <w:ilvl w:val="0"/>
          <w:numId w:val="1013"/>
        </w:numPr>
        <w:pStyle w:val="Compact"/>
      </w:pPr>
      <w:r>
        <w:rPr>
          <w:bCs/>
          <w:b/>
        </w:rPr>
        <w:t xml:space="preserve">Materials (3.650 kg CO2e):</w:t>
      </w:r>
      <w:r>
        <w:t xml:space="preserve"> </w:t>
      </w:r>
      <w:r>
        <w:t xml:space="preserve">Raw material acquisition and processing represent the second largest hotspot, contributing around 53%. This underscores the impact of material choices and supply chain transparency.</w:t>
      </w:r>
    </w:p>
    <w:p>
      <w:pPr>
        <w:numPr>
          <w:ilvl w:val="0"/>
          <w:numId w:val="1013"/>
        </w:numPr>
        <w:pStyle w:val="Compact"/>
      </w:pPr>
      <w:r>
        <w:rPr>
          <w:bCs/>
          <w:b/>
        </w:rPr>
        <w:t xml:space="preserve">Manufacturing (0.776 kg CO2e):</w:t>
      </w:r>
      <w:r>
        <w:t xml:space="preserve"> </w:t>
      </w:r>
      <w:r>
        <w:t xml:space="preserve">Although smaller than the use phase and materials, the energy used in manufacturing still presents an area for optimization, especially by increasing renewable energy usage beyond the current 75%.</w:t>
      </w:r>
    </w:p>
    <w:p>
      <w:pPr>
        <w:numPr>
          <w:ilvl w:val="0"/>
          <w:numId w:val="1013"/>
        </w:numPr>
        <w:pStyle w:val="Compact"/>
      </w:pPr>
      <w:r>
        <w:rPr>
          <w:bCs/>
          <w:b/>
        </w:rPr>
        <w:t xml:space="preserve">Transport (0.200 kg CO2e):</w:t>
      </w:r>
      <w:r>
        <w:t xml:space="preserve"> </w:t>
      </w:r>
      <w:r>
        <w:t xml:space="preserve">Transportation, while lower in magnitude, contributes to the overall Scope 3 emissions.</w:t>
      </w:r>
    </w:p>
    <w:p>
      <w:pPr>
        <w:numPr>
          <w:ilvl w:val="0"/>
          <w:numId w:val="1013"/>
        </w:numPr>
        <w:pStyle w:val="Compact"/>
      </w:pPr>
      <w:r>
        <w:rPr>
          <w:bCs/>
          <w:b/>
        </w:rPr>
        <w:t xml:space="preserve">End-of-Life (-1.778 kg CO2e):</w:t>
      </w:r>
      <w:r>
        <w:t xml:space="preserve"> </w:t>
      </w:r>
      <w:r>
        <w:t xml:space="preserve">The strong recyclability and implemented take-back schemes result in a significant net carbon saving at the end of the product\'s life, demonstrating the positive impact of circular economy initiatives.</w:t>
      </w:r>
    </w:p>
    <w:bookmarkEnd w:id="39"/>
    <w:bookmarkStart w:id="40" w:name="reliability-and-data-quality"/>
    <w:p>
      <w:pPr>
        <w:pStyle w:val="Heading3"/>
      </w:pPr>
      <w:r>
        <w:t xml:space="preserve">Reliability and Data Quality</w:t>
      </w:r>
    </w:p>
    <w:p>
      <w:pPr>
        <w:pStyle w:val="FirstParagraph"/>
      </w:pPr>
      <w:r>
        <w:t xml:space="preserve">This PCF analysis utilizes specific primary data points provided (BOM, energy intensity, renewable energy usage, product lifespan, energy in use, recyclability, circular programs) combined with industry-standard emission factors from reputable sources (e.g., IEA, DEFRA, GLEC, EPA for various regions). The high level of detail in the Bill of Materials significantly enhances the accuracy of the material-related impacts. Assumptions have been clearly stated where specific data was not available (e.g., last-mile distance, recycling credit factors).</w:t>
      </w:r>
    </w:p>
    <w:bookmarkEnd w:id="40"/>
    <w:bookmarkStart w:id="41" w:name="ghg-protocol-2026-updates-implications"/>
    <w:p>
      <w:pPr>
        <w:pStyle w:val="Heading3"/>
      </w:pPr>
      <w:r>
        <w:t xml:space="preserve">GHG Protocol 2026 Updates: Implications</w:t>
      </w:r>
    </w:p>
    <w:p>
      <w:pPr>
        <w:pStyle w:val="FirstParagraph"/>
      </w:pPr>
      <w:r>
        <w:t xml:space="preserve">The analysis has been conducted with a forward-looking perspective, anticipating the full implementation of the GHG Protocol\'s 2026 revisions:</w:t>
      </w:r>
    </w:p>
    <w:p>
      <w:pPr>
        <w:numPr>
          <w:ilvl w:val="0"/>
          <w:numId w:val="1014"/>
        </w:numPr>
        <w:pStyle w:val="Compact"/>
      </w:pPr>
      <w:r>
        <w:rPr>
          <w:bCs/>
          <w:b/>
        </w:rPr>
        <w:t xml:space="preserve">Land Sector and Removals (LSR) Standard:</w:t>
      </w:r>
      <w:r>
        <w:t xml:space="preserve"> </w:t>
      </w:r>
      <w:r>
        <w:t xml:space="preserve">This standard, effective January 1, 2027, will be crucial for companies with land-related emissions in their operations or value chains. While this report did not have specific land-use data, future PCF iterations for efzqmflgqo will need to thoroughly assess and quantify emissions from land use change, land management, and any biogenic carbon within its material components and supply chain.</w:t>
      </w:r>
    </w:p>
    <w:p>
      <w:pPr>
        <w:numPr>
          <w:ilvl w:val="0"/>
          <w:numId w:val="1014"/>
        </w:numPr>
        <w:pStyle w:val="Compact"/>
      </w:pPr>
      <w:r>
        <w:rPr>
          <w:bCs/>
          <w:b/>
        </w:rPr>
        <w:t xml:space="preserve">Scope 3 95% Completeness Rule:</w:t>
      </w:r>
      <w:r>
        <w:t xml:space="preserve"> </w:t>
      </w:r>
      <w:r>
        <w:t xml:space="preserve">The report aimed for high completeness in Scope 3 categories. The proposed 95% coverage rule for relevant Scope 3 emissions will necessitate rigorous data collection and robust justification for any exclusions to claim conformance with the standard. This also includes the requirement for mandatory data disaggregation by source type (primary vs. secondary) to enhance transparency and data quality.</w:t>
      </w:r>
    </w:p>
    <w:p>
      <w:pPr>
        <w:numPr>
          <w:ilvl w:val="0"/>
          <w:numId w:val="1014"/>
        </w:numPr>
        <w:pStyle w:val="Compact"/>
      </w:pPr>
      <w:r>
        <w:rPr>
          <w:bCs/>
          <w:b/>
        </w:rPr>
        <w:t xml:space="preserve">Annualized Emissions for Use Phase:</w:t>
      </w:r>
      <w:r>
        <w:t xml:space="preserve"> </w:t>
      </w:r>
      <w:r>
        <w:t xml:space="preserve">The shift from "Lifetime Accounting" to an annualized stock-based model for Category 11 (Use of Sold Products) aims to align with circular economy principles by rewarding product durability. This will influence how efzqmflgqo\'s use phase emissions are reported in subsequent annual inventories.</w:t>
      </w:r>
    </w:p>
    <w:bookmarkEnd w:id="41"/>
    <w:bookmarkStart w:id="42" w:name="recommendations-for-emission-reduction"/>
    <w:p>
      <w:pPr>
        <w:pStyle w:val="Heading3"/>
      </w:pPr>
      <w:r>
        <w:t xml:space="preserve">Recommendations for Emission Reduction</w:t>
      </w:r>
    </w:p>
    <w:p>
      <w:pPr>
        <w:pStyle w:val="FirstParagraph"/>
      </w:pPr>
      <w:r>
        <w:t xml:space="preserve">Based on the identified hotspots, vsuivutere should focus on the following strategies:</w:t>
      </w:r>
    </w:p>
    <w:p>
      <w:pPr>
        <w:numPr>
          <w:ilvl w:val="0"/>
          <w:numId w:val="1015"/>
        </w:numPr>
        <w:pStyle w:val="Compact"/>
      </w:pPr>
      <w:r>
        <w:rPr>
          <w:bCs/>
          <w:b/>
        </w:rPr>
        <w:t xml:space="preserve">Optimize Use Phase Energy Efficiency:</w:t>
      </w:r>
      <w:r>
        <w:t xml:space="preserve"> </w:t>
      </w:r>
      <w:r>
        <w:t xml:space="preserve">Redesign efzqmflgqo for lower energy consumption during its operational lifespan. Explore user behavior influencing energy use and provide guidance for efficient operation.</w:t>
      </w:r>
    </w:p>
    <w:p>
      <w:pPr>
        <w:numPr>
          <w:ilvl w:val="0"/>
          <w:numId w:val="1015"/>
        </w:numPr>
        <w:pStyle w:val="Compact"/>
      </w:pPr>
      <w:r>
        <w:rPr>
          <w:bCs/>
          <w:b/>
        </w:rPr>
        <w:t xml:space="preserve">Enhance Material Sustainability:</w:t>
      </w:r>
      <w:r>
        <w:t xml:space="preserve"> </w:t>
      </w:r>
      <w:r>
        <w:t xml:space="preserve">Investigate alternative, lower-carbon materials for the steel casing, plastic enclosure, and circuit board. Engage with suppliers to understand and reduce their upstream emissions for components.</w:t>
      </w:r>
    </w:p>
    <w:p>
      <w:pPr>
        <w:numPr>
          <w:ilvl w:val="0"/>
          <w:numId w:val="1015"/>
        </w:numPr>
        <w:pStyle w:val="Compact"/>
      </w:pPr>
      <w:r>
        <w:rPr>
          <w:bCs/>
          <w:b/>
        </w:rPr>
        <w:t xml:space="preserve">Increase Renewable Energy in Manufacturing:</w:t>
      </w:r>
      <w:r>
        <w:t xml:space="preserve"> </w:t>
      </w:r>
      <w:r>
        <w:t xml:space="preserve">While already at 75%, striving for 100% renewable energy in the China manufacturing facility will further reduce Scope 2 emissions.</w:t>
      </w:r>
    </w:p>
    <w:p>
      <w:pPr>
        <w:numPr>
          <w:ilvl w:val="0"/>
          <w:numId w:val="1015"/>
        </w:numPr>
        <w:pStyle w:val="Compact"/>
      </w:pPr>
      <w:r>
        <w:rPr>
          <w:bCs/>
          <w:b/>
        </w:rPr>
        <w:t xml:space="preserve">Strengthen Circularity:</w:t>
      </w:r>
      <w:r>
        <w:t xml:space="preserve"> </w:t>
      </w:r>
      <w:r>
        <w:t xml:space="preserve">Continue to expand and promote the product take-back scheme. Explore opportunities for closed-loop recycling of components and materials to maximize the benefits of avoided virgin material production.</w:t>
      </w:r>
    </w:p>
    <w:p>
      <w:pPr>
        <w:numPr>
          <w:ilvl w:val="0"/>
          <w:numId w:val="1015"/>
        </w:numPr>
        <w:pStyle w:val="Compact"/>
      </w:pPr>
      <w:r>
        <w:rPr>
          <w:bCs/>
          <w:b/>
        </w:rPr>
        <w:t xml:space="preserve">Supply Chain Engagement:</w:t>
      </w:r>
      <w:r>
        <w:t xml:space="preserve"> </w:t>
      </w:r>
      <w:r>
        <w:t xml:space="preserve">Collaborate with transportation providers to explore more efficient modes, optimize routes, and potentially transition to lower-emission fuels or electric vehicles for logistics.</w:t>
      </w:r>
    </w:p>
    <w:bookmarkEnd w:id="42"/>
    <w:bookmarkEnd w:id="43"/>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efzqmflgqo</dc:title>
  <dc:creator/>
  <dc:description>High-detail Product Carbon Footprint (PCF) analysis report for efzqmflgqo, conducted by Senior Sustainability Consultant zsxwnhkwpt for vsuivutere, adhering to GHG Protocol standards and 2026 updates.</dc:description>
  <dc:language>en</dc:language>
  <cp:keywords/>
  <dcterms:created xsi:type="dcterms:W3CDTF">2026-07-15T05:20:36Z</dcterms:created>
  <dcterms:modified xsi:type="dcterms:W3CDTF">2026-07-15T05:20:36Z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