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efkndwolln</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Product: efkndwolln</w:t>
      </w:r>
    </w:p>
    <w:p>
      <w:pPr>
        <w:pStyle w:val="BodyText"/>
      </w:pPr>
      <w:r>
        <w:t xml:space="preserve">Protocol Data (Accounting Standard): GHG Protocol</w:t>
      </w:r>
    </w:p>
    <w:p>
      <w:pPr>
        <w:pStyle w:val="BodyText"/>
      </w:pPr>
      <w:r>
        <w:t xml:space="preserve">Company Name: tnweqjjjsq</w:t>
      </w:r>
    </w:p>
    <w:p>
      <w:pPr>
        <w:pStyle w:val="BodyText"/>
      </w:pPr>
      <w:r>
        <w:t xml:space="preserve">Senior Sustainability Consultant: irhsjqhjhq</w:t>
      </w:r>
    </w:p>
    <w:p>
      <w:pPr>
        <w:pStyle w:val="BodyText"/>
      </w:pPr>
      <w:r>
        <w:t xml:space="preserve">Disclaimer: This report is generated based on available data and industry standards.</w:t>
      </w:r>
      <w:r>
        <w:t xml:space="preserve"> </w:t>
      </w:r>
      <w:r>
        <w:t xml:space="preserve">The values presented for illustrative parameters are hypothetical and would require actual</w:t>
      </w:r>
      <w:r>
        <w:t xml:space="preserve"> </w:t>
      </w:r>
      <w:r>
        <w:t xml:space="preserve">primary and secondary data for precise calculation in a real-world scenario.</w:t>
      </w:r>
      <w:r>
        <w:t xml:space="preserve"> </w:t>
      </w:r>
      <w:r>
        <w:t xml:space="preserve">The GHG Protocol 2026 updates are incorporated based on current understanding and progress reports.</w:t>
      </w:r>
    </w:p>
    <w:bookmarkEnd w:id="20"/>
    <w:bookmarkStart w:id="40" w:name="X01b6451643218a28d894e999f23220651e3f3e8"/>
    <w:p>
      <w:pPr>
        <w:pStyle w:val="Heading1"/>
      </w:pPr>
      <w:r>
        <w:t xml:space="preserve">Product Carbon Footprint Report for efkndwolln</w:t>
      </w:r>
    </w:p>
    <w:p>
      <w:pPr>
        <w:pStyle w:val="FirstParagraph"/>
      </w:pPr>
      <w:r>
        <w:t xml:space="preserve">Generated Date: 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high-detail Product Carbon Footprint (PCF) analysis for the product efkndwolln,</w:t>
      </w:r>
      <w:r>
        <w:t xml:space="preserve"> </w:t>
      </w:r>
      <w:r>
        <w:t xml:space="preserve">developed for tnweqjjjsq by Senior Sustainability Consultant irhsjqhjhq,</w:t>
      </w:r>
      <w:r>
        <w:t xml:space="preserve"> </w:t>
      </w:r>
      <w:r>
        <w:t xml:space="preserve">provides a comprehensive assessment of greenhouse gas (GHG) emissions across its entire lifecycle.</w:t>
      </w:r>
      <w:r>
        <w:t xml:space="preserve"> </w:t>
      </w:r>
      <w:r>
        <w:t xml:space="preserve">Adhering strictly to the GHG Protocol, including the latest 2026 Land Sector and Removals (LSR) update and</w:t>
      </w:r>
      <w:r>
        <w:t xml:space="preserve"> </w:t>
      </w:r>
      <w:r>
        <w:t xml:space="preserve">Scope 3 compliance requirements, this report aims to identify emission hotspots and inform</w:t>
      </w:r>
      <w:r>
        <w:t xml:space="preserve"> </w:t>
      </w:r>
      <w:r>
        <w:t xml:space="preserve">strategic decisions for reducing environmental impact. The analysis covers raw material acquisition,</w:t>
      </w:r>
      <w:r>
        <w:t xml:space="preserve"> </w:t>
      </w:r>
      <w:r>
        <w:t xml:space="preserve">manufacturing, transportation, use-phase, and end-of-life scenarios, categorizing emissions into</w:t>
      </w:r>
      <w:r>
        <w:t xml:space="preserve"> </w:t>
      </w:r>
      <w:r>
        <w:t xml:space="preserve">Scope 1, 2, and 3 as per the standard.</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initial phase of the Product Carbon Footprint (PCF) analysis involves clearly defining the scope to ensure consistency and relevance of the results.</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efkndwolln.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A "cradle-to-gate" system boundary has been applied as</w:t>
      </w:r>
      <w:r>
        <w:t xml:space="preserve"> </w:t>
      </w:r>
      <w:r>
        <w:rPr>
          <w:bCs/>
          <w:b/>
        </w:rPr>
        <w:t xml:space="preserve">factory_gate</w:t>
      </w:r>
      <w:r>
        <w:t xml:space="preserve">. This means the analysis includes all activities from raw material extraction (cradle) up to the point where the finished product leaves the manufacturing facility (gate), ready for distribution. It specifically includes raw material acquisition, transport to manufacturing, and the manufacturing process itself. The subsequent stages (distribution, use, and end-of-life) are evaluated separately to provide a full lifecycle perspective, in line with the detailed PCF requirements.</w:t>
      </w:r>
    </w:p>
    <w:p>
      <w:pPr>
        <w:numPr>
          <w:ilvl w:val="0"/>
          <w:numId w:val="1001"/>
        </w:numPr>
        <w:pStyle w:val="Compact"/>
      </w:pPr>
      <w:r>
        <w:rPr>
          <w:bCs/>
          <w:b/>
        </w:rPr>
        <w:t xml:space="preserve">Geographic Scope:</w:t>
      </w:r>
      <w:r>
        <w:t xml:space="preserve"> </w:t>
      </w:r>
      <w:r>
        <w:t xml:space="preserve">The</w:t>
      </w:r>
      <w:r>
        <w:t xml:space="preserve"> </w:t>
      </w:r>
      <w:r>
        <w:rPr>
          <w:bCs/>
          <w:b/>
        </w:rPr>
        <w:t xml:space="preserve">Final Production Country is China</w:t>
      </w:r>
      <w:r>
        <w:t xml:space="preserve">, with a</w:t>
      </w:r>
      <w:r>
        <w:t xml:space="preserve"> </w:t>
      </w:r>
      <w:r>
        <w:rPr>
          <w:bCs/>
          <w:b/>
        </w:rPr>
        <w:t xml:space="preserve">Supply Chain Focus on Europe Focused</w:t>
      </w:r>
      <w:r>
        <w:t xml:space="preserve">. This geographical scope dictates the selection of region-specific emission factors for electricity grids, transportation, and certain material production processes where available.</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w:t>
      </w:r>
      <w:r>
        <w:t xml:space="preserve"> </w:t>
      </w:r>
      <w:r>
        <w:t xml:space="preserve">standards for corporate accounting and reporting, ensuring a robust and internationally recognized methodology.</w:t>
      </w:r>
    </w:p>
    <w:p>
      <w:pPr>
        <w:numPr>
          <w:ilvl w:val="0"/>
          <w:numId w:val="1001"/>
        </w:numPr>
        <w:pStyle w:val="Compact"/>
      </w:pPr>
      <w:r>
        <w:rPr>
          <w:bCs/>
          <w:b/>
        </w:rPr>
        <w:t xml:space="preserve">Allocation:</w:t>
      </w:r>
      <w:r>
        <w:t xml:space="preserve"> </w:t>
      </w:r>
      <w:r>
        <w:t xml:space="preserve">Where co-products or waste materials arise, mass-based allocation methods are generally employed. For recycled content, the "cut-off" approach is adopted, meaning the burden of virgin material production is assigned to the primary user, and the recycled material is considered "new" for the subsequent product system with zero burden from its past life.</w:t>
      </w:r>
    </w:p>
    <w:p>
      <w:r>
        <w:pict>
          <v:rect style="width:0;height:1.5pt" o:hralign="center" o:hrstd="t" o:hr="t"/>
        </w:pict>
      </w:r>
    </w:p>
    <w:bookmarkEnd w:id="22"/>
    <w:bookmarkStart w:id="28" w:name="map-lifecycle-3.-collect-data"/>
    <w:p>
      <w:pPr>
        <w:pStyle w:val="Heading2"/>
      </w:pPr>
      <w:r>
        <w:t xml:space="preserve">2. Map Lifecycle &amp; 3. Collect Data</w:t>
      </w:r>
    </w:p>
    <w:p>
      <w:pPr>
        <w:pStyle w:val="FirstParagraph"/>
      </w:pPr>
      <w:r>
        <w:t xml:space="preserve">This section details the lifecycle stages of efkndwolln and the data collected (or illustratively presented where placeholders were provided) for the PCF calculation. The cradle-to-gate system boundary forms the core of the data collection for manufacturing, with subsequent stages evaluated to provide a comprehensive lifecycle assessment.</w:t>
      </w:r>
    </w:p>
    <w:bookmarkStart w:id="23" w:name="Xc20385c1e1dd4e4a3d239dd0c4ba35ee73e06bf"/>
    <w:p>
      <w:pPr>
        <w:pStyle w:val="Heading3"/>
      </w:pPr>
      <w:r>
        <w:t xml:space="preserve">Detailed Bill of Materials (BOM) Analysis for efkndwolln</w:t>
      </w:r>
    </w:p>
    <w:p>
      <w:pPr>
        <w:pStyle w:val="FirstParagraph"/>
      </w:pPr>
      <w:r>
        <w:t xml:space="preserve">The Detailed Bill of Materials (BOM) for efkndwolln is crucial for high-accuracy material impact calculation. As the provided BOM data `xjnrkfgz` was a placeholder string, illustrative material data following the specified format (ID, Description, Category, Process, Qty, Unit, Emission Factor, Total Carbon) is presented below to demonstrate the methodology. In a real scenario, the precise data from the provided BOM would be utilized.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 CO2e/Unit)</w:t>
            </w:r>
          </w:p>
        </w:tc>
        <w:tc>
          <w:tcPr/>
          <w:p>
            <w:pPr>
              <w:pStyle w:val="Compact"/>
              <w:jc w:val="left"/>
            </w:pPr>
            <w:r>
              <w:t xml:space="preserve">Illustrative Total Carbon (kg CO2e)</w:t>
            </w:r>
          </w:p>
        </w:tc>
      </w:tr>
      <w:tr>
        <w:tc>
          <w:tcPr/>
          <w:p>
            <w:pPr>
              <w:pStyle w:val="Compact"/>
              <w:jc w:val="left"/>
            </w:pPr>
            <w:r>
              <w:t xml:space="preserve">MTRL001</w:t>
            </w:r>
          </w:p>
        </w:tc>
        <w:tc>
          <w:tcPr/>
          <w:p>
            <w:pPr>
              <w:pStyle w:val="Compact"/>
              <w:jc w:val="left"/>
            </w:pPr>
            <w:r>
              <w:t xml:space="preserve">Aluminum Alloy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MTRL002</w:t>
            </w:r>
          </w:p>
        </w:tc>
        <w:tc>
          <w:tcPr/>
          <w:p>
            <w:pPr>
              <w:pStyle w:val="Compact"/>
              <w:jc w:val="left"/>
            </w:pPr>
            <w:r>
              <w:t xml:space="preserve">Recycled Plastic Housing</w:t>
            </w:r>
          </w:p>
        </w:tc>
        <w:tc>
          <w:tcPr/>
          <w:p>
            <w:pPr>
              <w:pStyle w:val="Compact"/>
              <w:jc w:val="left"/>
            </w:pPr>
            <w:r>
              <w:t xml:space="preserve">Plastics</w:t>
            </w:r>
          </w:p>
        </w:tc>
        <w:tc>
          <w:tcPr/>
          <w:p>
            <w:pPr>
              <w:pStyle w:val="Compact"/>
              <w:jc w:val="left"/>
            </w:pPr>
            <w:r>
              <w:t xml:space="preserve">Recycling &amp;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p>
            <w:pPr>
              <w:pStyle w:val="Compact"/>
              <w:jc w:val="left"/>
            </w:pPr>
            <w:r>
              <w:t xml:space="preserve">MTRL003</w:t>
            </w:r>
          </w:p>
        </w:tc>
        <w:tc>
          <w:tcPr/>
          <w:p>
            <w:pPr>
              <w:pStyle w:val="Compact"/>
              <w:jc w:val="left"/>
            </w:pPr>
            <w:r>
              <w:t xml:space="preserve">Electronic Components (PCB)</w:t>
            </w:r>
          </w:p>
        </w:tc>
        <w:tc>
          <w:tcPr/>
          <w:p>
            <w:pPr>
              <w:pStyle w:val="Compact"/>
              <w:jc w:val="left"/>
            </w:pPr>
            <w:r>
              <w:t xml:space="preserve">Electronics</w:t>
            </w:r>
          </w:p>
        </w:tc>
        <w:tc>
          <w:tcPr/>
          <w:p>
            <w:pPr>
              <w:pStyle w:val="Compact"/>
              <w:jc w:val="left"/>
            </w:pPr>
            <w:r>
              <w:t xml:space="preserve">Assembly &amp; Soldering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w:t>
            </w:r>
          </w:p>
        </w:tc>
      </w:tr>
      <w:tr>
        <w:tc>
          <w:tcPr/>
          <w:p>
            <w:pPr>
              <w:pStyle w:val="Compact"/>
              <w:jc w:val="left"/>
            </w:pPr>
            <w:r>
              <w:t xml:space="preserve">MTRL004</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Pulp &amp; Paper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r>
        <w:tc>
          <w:tcPr>
            <w:gridSpan w:val="7"/>
          </w:tcPr>
          <w:p>
            <w:pPr>
              <w:pStyle w:val="Compact"/>
              <w:jc w:val="right"/>
            </w:pPr>
            <w:r>
              <w:t xml:space="preserve">Subtotal Material Emissions (Illustrative)</w:t>
            </w:r>
          </w:p>
        </w:tc>
        <w:tc>
          <w:tcPr/>
          <w:p>
            <w:pPr>
              <w:pStyle w:val="Compact"/>
              <w:jc w:val="left"/>
            </w:pPr>
            <w:r>
              <w:t xml:space="preserve">6.65</w:t>
            </w:r>
          </w:p>
        </w:tc>
      </w:tr>
    </w:tbl>
    <w:bookmarkEnd w:id="23"/>
    <w:bookmarkStart w:id="24" w:name="production-energy-inputs"/>
    <w:p>
      <w:pPr>
        <w:pStyle w:val="Heading3"/>
      </w:pPr>
      <w:r>
        <w:t xml:space="preserve">Production Energy Inputs</w:t>
      </w:r>
    </w:p>
    <w:p>
      <w:pPr>
        <w:pStyle w:val="FirstParagraph"/>
      </w:pPr>
      <w:r>
        <w:t xml:space="preserve">The production phase in China involves significant energy consumption. The provided parameters for renewable energy usage and energy intensity, `pvvdgklygj` and `juwihujgnz`, were placeholders. For this report, illustrative values are used to demonstrate calculation.</w:t>
      </w:r>
    </w:p>
    <w:p>
      <w:pPr>
        <w:numPr>
          <w:ilvl w:val="0"/>
          <w:numId w:val="1002"/>
        </w:numPr>
        <w:pStyle w:val="Compact"/>
      </w:pPr>
      <w:r>
        <w:rPr>
          <w:bCs/>
          <w:b/>
        </w:rPr>
        <w:t xml:space="preserve">Illustrative Renewable Energy Usage:</w:t>
      </w:r>
      <w:r>
        <w:t xml:space="preserve"> </w:t>
      </w:r>
      <w:r>
        <w:t xml:space="preserve">70% (representing `pvvdgklygj`)</w:t>
      </w:r>
    </w:p>
    <w:p>
      <w:pPr>
        <w:numPr>
          <w:ilvl w:val="0"/>
          <w:numId w:val="1002"/>
        </w:numPr>
        <w:pStyle w:val="Compact"/>
      </w:pPr>
      <w:r>
        <w:rPr>
          <w:bCs/>
          <w:b/>
        </w:rPr>
        <w:t xml:space="preserve">Illustrative Energy Intensity (kWh/unit):</w:t>
      </w:r>
      <w:r>
        <w:t xml:space="preserve"> </w:t>
      </w:r>
      <w:r>
        <w:t xml:space="preserve">7.5 kWh/unit (representing `juwihujgnz`)</w:t>
      </w:r>
    </w:p>
    <w:p>
      <w:pPr>
        <w:numPr>
          <w:ilvl w:val="0"/>
          <w:numId w:val="1002"/>
        </w:numPr>
        <w:pStyle w:val="Compact"/>
      </w:pPr>
      <w:r>
        <w:rPr>
          <w:bCs/>
          <w:b/>
        </w:rPr>
        <w:t xml:space="preserve">Illustrative Grid Emission Factor (China):</w:t>
      </w:r>
      <w:r>
        <w:t xml:space="preserve"> </w:t>
      </w:r>
      <w:r>
        <w:t xml:space="preserve">0.8 kg CO2e/kWh (for non-renewable portion)</w:t>
      </w:r>
    </w:p>
    <w:p>
      <w:pPr>
        <w:numPr>
          <w:ilvl w:val="0"/>
          <w:numId w:val="1002"/>
        </w:numPr>
        <w:pStyle w:val="Compact"/>
      </w:pPr>
      <w:r>
        <w:rPr>
          <w:bCs/>
          <w:b/>
        </w:rPr>
        <w:t xml:space="preserve">Illustrative Renewable Energy Emission Factor:</w:t>
      </w:r>
      <w:r>
        <w:t xml:space="preserve"> </w:t>
      </w:r>
      <w:r>
        <w:t xml:space="preserve">0.05 kg CO2e/kWh (for residual emissions from certified renewables)</w:t>
      </w:r>
    </w:p>
    <w:p>
      <w:pPr>
        <w:pStyle w:val="FirstParagraph"/>
      </w:pPr>
      <w:r>
        <w:t xml:space="preserve">Calculation for Production Energy Emissions:</w:t>
      </w:r>
    </w:p>
    <w:p>
      <w:pPr>
        <w:numPr>
          <w:ilvl w:val="0"/>
          <w:numId w:val="1003"/>
        </w:numPr>
        <w:pStyle w:val="Compact"/>
      </w:pPr>
      <w:r>
        <w:t xml:space="preserve">Total Energy Consumption = 1 unit * 7.5 kWh/unit = 7.5 kWh</w:t>
      </w:r>
    </w:p>
    <w:p>
      <w:pPr>
        <w:numPr>
          <w:ilvl w:val="0"/>
          <w:numId w:val="1003"/>
        </w:numPr>
        <w:pStyle w:val="Compact"/>
      </w:pPr>
      <w:r>
        <w:t xml:space="preserve">Renewable Energy Consumption = 7.5 kWh * 70% = 5.25 kWh</w:t>
      </w:r>
    </w:p>
    <w:p>
      <w:pPr>
        <w:numPr>
          <w:ilvl w:val="0"/>
          <w:numId w:val="1003"/>
        </w:numPr>
        <w:pStyle w:val="Compact"/>
      </w:pPr>
      <w:r>
        <w:t xml:space="preserve">Non-Renewable Energy Consumption = 7.5 kWh * 30% = 2.25 kWh</w:t>
      </w:r>
    </w:p>
    <w:p>
      <w:pPr>
        <w:numPr>
          <w:ilvl w:val="0"/>
          <w:numId w:val="1003"/>
        </w:numPr>
        <w:pStyle w:val="Compact"/>
      </w:pPr>
      <w:r>
        <w:t xml:space="preserve">Emissions from Renewable Energy = 5.25 kWh * 0.05 kg CO2e/kWh = 0.2625 kg CO2e</w:t>
      </w:r>
    </w:p>
    <w:p>
      <w:pPr>
        <w:numPr>
          <w:ilvl w:val="0"/>
          <w:numId w:val="1003"/>
        </w:numPr>
        <w:pStyle w:val="Compact"/>
      </w:pPr>
      <w:r>
        <w:t xml:space="preserve">Emissions from Non-Renewable Energy = 2.25 kWh * 0.8 kg CO2e/kWh = 1.8 kg CO2e</w:t>
      </w:r>
    </w:p>
    <w:p>
      <w:pPr>
        <w:numPr>
          <w:ilvl w:val="0"/>
          <w:numId w:val="1003"/>
        </w:numPr>
        <w:pStyle w:val="Compact"/>
      </w:pPr>
      <w:r>
        <w:rPr>
          <w:bCs/>
          <w:b/>
        </w:rPr>
        <w:t xml:space="preserve">Total Production Energy Emissions (Illustrative) = 2.0625 kg CO2e</w:t>
      </w:r>
    </w:p>
    <w:bookmarkEnd w:id="24"/>
    <w:bookmarkStart w:id="25" w:name="logistics-data"/>
    <w:p>
      <w:pPr>
        <w:pStyle w:val="Heading3"/>
      </w:pPr>
      <w:r>
        <w:t xml:space="preserve">Logistics Data</w:t>
      </w:r>
    </w:p>
    <w:p>
      <w:pPr>
        <w:pStyle w:val="FirstParagraph"/>
      </w:pPr>
      <w:r>
        <w:t xml:space="preserve">Transportation plays a critical role in the product\'s overall carbon footprint. The parameters `Select Mode`, `gdnoirweqm`, and `Delivery Type` were placeholders. Illustrative data is used to model the transport impact from China to Europe, including last-mile delivery.</w:t>
      </w:r>
    </w:p>
    <w:p>
      <w:pPr>
        <w:numPr>
          <w:ilvl w:val="0"/>
          <w:numId w:val="1004"/>
        </w:numPr>
        <w:pStyle w:val="Compact"/>
      </w:pPr>
      <w:r>
        <w:rPr>
          <w:bCs/>
          <w:b/>
        </w:rPr>
        <w:t xml:space="preserve">Illustrative Transport Mode (Main):</w:t>
      </w:r>
      <w:r>
        <w:t xml:space="preserve"> </w:t>
      </w:r>
      <w:r>
        <w:t xml:space="preserve">Ocean Freight (representing `Select Mode`)</w:t>
      </w:r>
    </w:p>
    <w:p>
      <w:pPr>
        <w:numPr>
          <w:ilvl w:val="0"/>
          <w:numId w:val="1004"/>
        </w:numPr>
        <w:pStyle w:val="Compact"/>
      </w:pPr>
      <w:r>
        <w:rPr>
          <w:bCs/>
          <w:b/>
        </w:rPr>
        <w:t xml:space="preserve">Illustrative Transport Distance (Main):</w:t>
      </w:r>
      <w:r>
        <w:t xml:space="preserve"> </w:t>
      </w:r>
      <w:r>
        <w:t xml:space="preserve">15,000 km (representing `gdnoirweqm`)</w:t>
      </w:r>
    </w:p>
    <w:p>
      <w:pPr>
        <w:numPr>
          <w:ilvl w:val="0"/>
          <w:numId w:val="1004"/>
        </w:numPr>
        <w:pStyle w:val="Compact"/>
      </w:pPr>
      <w:r>
        <w:rPr>
          <w:bCs/>
          <w:b/>
        </w:rPr>
        <w:t xml:space="preserve">Illustrative Last-Mile Delivery Channel:</w:t>
      </w:r>
      <w:r>
        <w:t xml:space="preserve"> </w:t>
      </w:r>
      <w:r>
        <w:t xml:space="preserve">Road Freight (Van Delivery) (representing `Delivery Type`)</w:t>
      </w:r>
    </w:p>
    <w:p>
      <w:pPr>
        <w:numPr>
          <w:ilvl w:val="0"/>
          <w:numId w:val="1004"/>
        </w:numPr>
        <w:pStyle w:val="Compact"/>
      </w:pPr>
      <w:r>
        <w:rPr>
          <w:bCs/>
          <w:b/>
        </w:rPr>
        <w:t xml:space="preserve">Illustrative Last-Mile Distance:</w:t>
      </w:r>
      <w:r>
        <w:t xml:space="preserve"> </w:t>
      </w:r>
      <w:r>
        <w:t xml:space="preserve">500 km</w:t>
      </w:r>
    </w:p>
    <w:p>
      <w:pPr>
        <w:numPr>
          <w:ilvl w:val="0"/>
          <w:numId w:val="1004"/>
        </w:numPr>
        <w:pStyle w:val="Compact"/>
      </w:pPr>
      <w:r>
        <w:rPr>
          <w:bCs/>
          <w:b/>
        </w:rPr>
        <w:t xml:space="preserve">Illustrative Emission Factor (Ocean Freight):</w:t>
      </w:r>
      <w:r>
        <w:t xml:space="preserve"> </w:t>
      </w:r>
      <w:r>
        <w:t xml:space="preserve">0.01 kg CO2e/tonne-km</w:t>
      </w:r>
    </w:p>
    <w:p>
      <w:pPr>
        <w:numPr>
          <w:ilvl w:val="0"/>
          <w:numId w:val="1004"/>
        </w:numPr>
        <w:pStyle w:val="Compact"/>
      </w:pPr>
      <w:r>
        <w:rPr>
          <w:bCs/>
          <w:b/>
        </w:rPr>
        <w:t xml:space="preserve">Illustrative Emission Factor (Road Freight - Van):</w:t>
      </w:r>
      <w:r>
        <w:t xml:space="preserve"> </w:t>
      </w:r>
      <w:r>
        <w:t xml:space="preserve">0.1 kg CO2e/tonne-km</w:t>
      </w:r>
    </w:p>
    <w:p>
      <w:pPr>
        <w:numPr>
          <w:ilvl w:val="0"/>
          <w:numId w:val="1004"/>
        </w:numPr>
        <w:pStyle w:val="Compact"/>
      </w:pPr>
      <w:r>
        <w:rPr>
          <w:bCs/>
          <w:b/>
        </w:rPr>
        <w:t xml:space="preserve">Illustrative Product Weight:</w:t>
      </w:r>
      <w:r>
        <w:t xml:space="preserve"> </w:t>
      </w:r>
      <w:r>
        <w:t xml:space="preserve">1.0 kg (including packaging)</w:t>
      </w:r>
    </w:p>
    <w:p>
      <w:pPr>
        <w:pStyle w:val="FirstParagraph"/>
      </w:pPr>
      <w:r>
        <w:t xml:space="preserve">Calculation for Transport Emissions:</w:t>
      </w:r>
    </w:p>
    <w:p>
      <w:pPr>
        <w:numPr>
          <w:ilvl w:val="0"/>
          <w:numId w:val="1005"/>
        </w:numPr>
        <w:pStyle w:val="Compact"/>
      </w:pPr>
      <w:r>
        <w:t xml:space="preserve">Main Transport (Ocean) Emissions = 1.0 kg * 15,000 km * (0.01 kg CO2e / 1000 kg-km) = 0.15 kg CO2e</w:t>
      </w:r>
    </w:p>
    <w:p>
      <w:pPr>
        <w:numPr>
          <w:ilvl w:val="0"/>
          <w:numId w:val="1005"/>
        </w:numPr>
        <w:pStyle w:val="Compact"/>
      </w:pPr>
      <w:r>
        <w:t xml:space="preserve">Last-Mile (Road) Emissions = 1.0 kg * 500 km * (0.1 kg CO2e / 1000 kg-km) = 0.05 kg CO2e</w:t>
      </w:r>
    </w:p>
    <w:p>
      <w:pPr>
        <w:numPr>
          <w:ilvl w:val="0"/>
          <w:numId w:val="1005"/>
        </w:numPr>
        <w:pStyle w:val="Compact"/>
      </w:pPr>
      <w:r>
        <w:rPr>
          <w:bCs/>
          <w:b/>
        </w:rPr>
        <w:t xml:space="preserve">Total Transport Emissions (Illustrative) = 0.2 kg CO2e</w:t>
      </w:r>
    </w:p>
    <w:bookmarkEnd w:id="25"/>
    <w:bookmarkStart w:id="26" w:name="use-phase-data"/>
    <w:p>
      <w:pPr>
        <w:pStyle w:val="Heading3"/>
      </w:pPr>
      <w:r>
        <w:t xml:space="preserve">Use Phase Data</w:t>
      </w:r>
    </w:p>
    <w:p>
      <w:pPr>
        <w:pStyle w:val="FirstParagraph"/>
      </w:pPr>
      <w:r>
        <w:t xml:space="preserve">The use phase emissions are calculated based on the product\'s lifespan and energy consumption during its operational period. The parameters `zwjdieyqyh` and `hoyhzwmofj` were placeholders. Illustrative data is used for this calculation.</w:t>
      </w:r>
    </w:p>
    <w:p>
      <w:pPr>
        <w:numPr>
          <w:ilvl w:val="0"/>
          <w:numId w:val="1006"/>
        </w:numPr>
        <w:pStyle w:val="Compact"/>
      </w:pPr>
      <w:r>
        <w:rPr>
          <w:bCs/>
          <w:b/>
        </w:rPr>
        <w:t xml:space="preserve">Illustrative Product Lifespan:</w:t>
      </w:r>
      <w:r>
        <w:t xml:space="preserve"> </w:t>
      </w:r>
      <w:r>
        <w:t xml:space="preserve">5 years (representing `zwjdieyqyh`)</w:t>
      </w:r>
    </w:p>
    <w:p>
      <w:pPr>
        <w:numPr>
          <w:ilvl w:val="0"/>
          <w:numId w:val="1006"/>
        </w:numPr>
        <w:pStyle w:val="Compact"/>
      </w:pPr>
      <w:r>
        <w:rPr>
          <w:bCs/>
          <w:b/>
        </w:rPr>
        <w:t xml:space="preserve">Illustrative Energy Consumption in Use (Annual):</w:t>
      </w:r>
      <w:r>
        <w:t xml:space="preserve"> </w:t>
      </w:r>
      <w:r>
        <w:t xml:space="preserve">10 kWh/year (representing `hoyhzwmofj`)</w:t>
      </w:r>
    </w:p>
    <w:p>
      <w:pPr>
        <w:numPr>
          <w:ilvl w:val="0"/>
          <w:numId w:val="1006"/>
        </w:numPr>
        <w:pStyle w:val="Compact"/>
      </w:pPr>
      <w:r>
        <w:rPr>
          <w:bCs/>
          <w:b/>
        </w:rPr>
        <w:t xml:space="preserve">Illustrative European Grid Emission Factor:</w:t>
      </w:r>
      <w:r>
        <w:t xml:space="preserve"> </w:t>
      </w:r>
      <w:r>
        <w:t xml:space="preserve">0.25 kg CO2e/kWh</w:t>
      </w:r>
    </w:p>
    <w:p>
      <w:pPr>
        <w:pStyle w:val="FirstParagraph"/>
      </w:pPr>
      <w:r>
        <w:t xml:space="preserve">Calculation for Use Phase Emissions:</w:t>
      </w:r>
    </w:p>
    <w:p>
      <w:pPr>
        <w:numPr>
          <w:ilvl w:val="0"/>
          <w:numId w:val="1007"/>
        </w:numPr>
        <w:pStyle w:val="Compact"/>
      </w:pPr>
      <w:r>
        <w:t xml:space="preserve">Total Energy Consumption over Lifespan = 10 kWh/year * 5 years = 50 kWh</w:t>
      </w:r>
    </w:p>
    <w:p>
      <w:pPr>
        <w:numPr>
          <w:ilvl w:val="0"/>
          <w:numId w:val="1007"/>
        </w:numPr>
        <w:pStyle w:val="Compact"/>
      </w:pPr>
      <w:r>
        <w:rPr>
          <w:bCs/>
          <w:b/>
        </w:rPr>
        <w:t xml:space="preserve">Total Use Phase Emissions (Illustrative) = 50 kWh * 0.25 kg CO2e/kWh = 12.5 kg CO2e</w:t>
      </w:r>
    </w:p>
    <w:bookmarkEnd w:id="26"/>
    <w:bookmarkStart w:id="27" w:name="end-of-life-eol-data"/>
    <w:p>
      <w:pPr>
        <w:pStyle w:val="Heading3"/>
      </w:pPr>
      <w:r>
        <w:t xml:space="preserve">End-of-Life (EoL) Data</w:t>
      </w:r>
    </w:p>
    <w:p>
      <w:pPr>
        <w:pStyle w:val="FirstParagraph"/>
      </w:pPr>
      <w:r>
        <w:t xml:space="preserve">End-of-Life scenarios incorporate recyclability and circular programs to reflect potential circular economy impacts. The parameters `qjlsxyemyx` and `lvziqnyohs` were placeholders. Illustrative data is used.</w:t>
      </w:r>
    </w:p>
    <w:p>
      <w:pPr>
        <w:numPr>
          <w:ilvl w:val="0"/>
          <w:numId w:val="1008"/>
        </w:numPr>
        <w:pStyle w:val="Compact"/>
      </w:pPr>
      <w:r>
        <w:rPr>
          <w:bCs/>
          <w:b/>
        </w:rPr>
        <w:t xml:space="preserve">Illustrative Recyclability Percentage:</w:t>
      </w:r>
      <w:r>
        <w:t xml:space="preserve"> </w:t>
      </w:r>
      <w:r>
        <w:t xml:space="preserve">80% (representing `qjlsxyemyx`)</w:t>
      </w:r>
    </w:p>
    <w:p>
      <w:pPr>
        <w:numPr>
          <w:ilvl w:val="0"/>
          <w:numId w:val="1008"/>
        </w:numPr>
        <w:pStyle w:val="Compact"/>
      </w:pPr>
      <w:r>
        <w:rPr>
          <w:bCs/>
          <w:b/>
        </w:rPr>
        <w:t xml:space="preserve">Illustrative Circular/Take-back Programs:</w:t>
      </w:r>
      <w:r>
        <w:t xml:space="preserve"> </w:t>
      </w:r>
      <w:r>
        <w:t xml:space="preserve">Yes, material recovery (representing `lvziqnyohs`)</w:t>
      </w:r>
    </w:p>
    <w:p>
      <w:pPr>
        <w:numPr>
          <w:ilvl w:val="0"/>
          <w:numId w:val="1008"/>
        </w:numPr>
        <w:pStyle w:val="Compact"/>
      </w:pPr>
      <w:r>
        <w:rPr>
          <w:bCs/>
          <w:b/>
        </w:rPr>
        <w:t xml:space="preserve">Illustrative Avoided Emissions from Recycling:</w:t>
      </w:r>
      <w:r>
        <w:t xml:space="preserve"> </w:t>
      </w:r>
      <w:r>
        <w:t xml:space="preserve">1.0 kg CO2e (for 80% of product weight)</w:t>
      </w:r>
    </w:p>
    <w:p>
      <w:pPr>
        <w:numPr>
          <w:ilvl w:val="0"/>
          <w:numId w:val="1008"/>
        </w:numPr>
        <w:pStyle w:val="Compact"/>
      </w:pPr>
      <w:r>
        <w:rPr>
          <w:bCs/>
          <w:b/>
        </w:rPr>
        <w:t xml:space="preserve">Illustrative Emissions from Landfill/Incineration (remaining 20%):</w:t>
      </w:r>
      <w:r>
        <w:t xml:space="preserve"> </w:t>
      </w:r>
      <w:r>
        <w:t xml:space="preserve">0.5 kg CO2e</w:t>
      </w:r>
    </w:p>
    <w:p>
      <w:pPr>
        <w:pStyle w:val="FirstParagraph"/>
      </w:pPr>
      <w:r>
        <w:t xml:space="preserve">Calculation for End-of-Life Emissions:</w:t>
      </w:r>
    </w:p>
    <w:p>
      <w:pPr>
        <w:numPr>
          <w:ilvl w:val="0"/>
          <w:numId w:val="1009"/>
        </w:numPr>
        <w:pStyle w:val="Compact"/>
      </w:pPr>
      <w:r>
        <w:t xml:space="preserve">Emissions from Disposal (20%) = 0.5 kg CO2e</w:t>
      </w:r>
    </w:p>
    <w:p>
      <w:pPr>
        <w:numPr>
          <w:ilvl w:val="0"/>
          <w:numId w:val="1009"/>
        </w:numPr>
        <w:pStyle w:val="Compact"/>
      </w:pPr>
      <w:r>
        <w:t xml:space="preserve">Avoided Emissions from Recycling (80%) = -1.0 kg CO2e (credit for material recovery)</w:t>
      </w:r>
    </w:p>
    <w:p>
      <w:pPr>
        <w:numPr>
          <w:ilvl w:val="0"/>
          <w:numId w:val="1009"/>
        </w:numPr>
        <w:pStyle w:val="Compact"/>
      </w:pPr>
      <w:r>
        <w:rPr>
          <w:bCs/>
          <w:b/>
        </w:rPr>
        <w:t xml:space="preserve">Total End-of-Life Emissions (Illustrative) = 0.5 kg CO2e - 1.0 kg CO2e = -0.5 kg CO2e</w:t>
      </w:r>
      <w:r>
        <w:t xml:space="preserve"> </w:t>
      </w:r>
      <w:r>
        <w:t xml:space="preserve">(Net Removal/Credit)</w:t>
      </w:r>
    </w:p>
    <w:p>
      <w:r>
        <w:pict>
          <v:rect style="width:0;height:1.5pt" o:hralign="center" o:hrstd="t" o:hr="t"/>
        </w:pict>
      </w:r>
    </w:p>
    <w:bookmarkEnd w:id="27"/>
    <w:bookmarkEnd w:id="28"/>
    <w:bookmarkStart w:id="35" w:name="calculate-emissions"/>
    <w:p>
      <w:pPr>
        <w:pStyle w:val="Heading2"/>
      </w:pPr>
      <w:r>
        <w:t xml:space="preserve">4. Calculate Emissions</w:t>
      </w:r>
    </w:p>
    <w:p>
      <w:pPr>
        <w:pStyle w:val="FirstParagraph"/>
      </w:pPr>
      <w:r>
        <w:t xml:space="preserve">Emissions are calculated by multiplying activity data by relevant emission factors. This section aggregates the illustrative emissions across the lifecycle stages and categorizes them according to the GHG Protocol scopes. Industry-standard emission factors from databases like Ecoinvent and DEFRA are typically utilized for such calculations. Ecoinvent offers thousands of granular emission factors, updated annually, with the latest version 3.12 released in 2025. DEFRA (now DESNZ) provides conversion factors for various activities, primarily for UK-based reporting, and are updated yearly, with the 2025 edition recently published.</w:t>
      </w:r>
    </w:p>
    <w:bookmarkStart w:id="29" w:name="adherence-to-ghg-protocol"/>
    <w:p>
      <w:pPr>
        <w:pStyle w:val="Heading3"/>
      </w:pPr>
      <w:r>
        <w:t xml:space="preserve">Adherence to GHG Protocol</w:t>
      </w:r>
    </w:p>
    <w:p>
      <w:pPr>
        <w:numPr>
          <w:ilvl w:val="0"/>
          <w:numId w:val="1010"/>
        </w:numPr>
        <w:pStyle w:val="Compact"/>
      </w:pPr>
      <w:r>
        <w:rPr>
          <w:bCs/>
          <w:b/>
        </w:rPr>
        <w:t xml:space="preserve">Scope 1 (Direct Emissions):</w:t>
      </w:r>
      <w:r>
        <w:t xml:space="preserve"> </w:t>
      </w:r>
      <w:r>
        <w:t xml:space="preserve">Emissions from sources owned or controlled by tnweqjjjsq. For this product, direct Scope 1 emissions at the manufacturing facility (e.g., from owned boilers or vehicles) are assumed to be negligible or accounted for at a corporate level, as the system boundary is factory_gate focusing on product-specific impacts. Any direct fuel combustion on-site would be included here.</w:t>
      </w:r>
    </w:p>
    <w:p>
      <w:pPr>
        <w:numPr>
          <w:ilvl w:val="0"/>
          <w:numId w:val="1010"/>
        </w:numPr>
        <w:pStyle w:val="Compact"/>
      </w:pPr>
      <w:r>
        <w:rPr>
          <w:bCs/>
          <w:b/>
        </w:rPr>
        <w:t xml:space="preserve">Scope 2 (Purchased Energy Emissions):</w:t>
      </w:r>
      <w:r>
        <w:t xml:space="preserve"> </w:t>
      </w:r>
      <w:r>
        <w:t xml:space="preserve">Indirect emissions from the generation of purchased electricity, heat, or steam consumed by tnweqjjjsq. The non-renewable portion of the production energy for efkndwolln falls into this category.</w:t>
      </w:r>
    </w:p>
    <w:p>
      <w:pPr>
        <w:numPr>
          <w:ilvl w:val="0"/>
          <w:numId w:val="1010"/>
        </w:numPr>
        <w:pStyle w:val="Compact"/>
      </w:pPr>
      <w:r>
        <w:rPr>
          <w:bCs/>
          <w:b/>
        </w:rPr>
        <w:t xml:space="preserve">Scope 3 (Value Chain Emissions):</w:t>
      </w:r>
      <w:r>
        <w:t xml:space="preserve"> </w:t>
      </w:r>
      <w:r>
        <w:t xml:space="preserve">All other indirect emissions that occur in the value chain of tnweqjjjsq, both upstream and downstream. This includes emissions from raw material extraction and processing, transport, use of sold products, and end-of-life treatment.</w:t>
      </w:r>
    </w:p>
    <w:bookmarkEnd w:id="29"/>
    <w:bookmarkStart w:id="30" w:name="X7ef73fe3d39a8d84fae696b42f814aa0d860ec0"/>
    <w:p>
      <w:pPr>
        <w:pStyle w:val="Heading3"/>
      </w:pPr>
      <w:r>
        <w:t xml:space="preserve">2026 LSR Update (Land Sector and Removals Standard)</w:t>
      </w:r>
    </w:p>
    <w:p>
      <w:pPr>
        <w:pStyle w:val="FirstParagraph"/>
      </w:pPr>
      <w:r>
        <w:t xml:space="preserve">The GHG Protocol\'s new Land Sector and Removals (LSR) Standard, released on January 30, 2026, and taking effect on January 1, 2027, provides crucial requirements for accounting for land sector emissions (such as land use change, land management, and biogenic products) and CO2 removals. While specific land-use data for efkndwolln\'s components was not provided as a placeholder, this analysis conceptually incorporates the principles of the LSR Standard. Should any raw materials (e.g., bio-based plastics, natural fibers) originate from agricultural or forestry activities, their associated land use change and land management emissions or removals would be quantified and reported separately as per the LSR guidance. The accompanying guidance for the LSR Standard is expected in the second quarter of 2026.</w:t>
      </w:r>
    </w:p>
    <w:bookmarkEnd w:id="30"/>
    <w:bookmarkStart w:id="31" w:name="X4eb827ef5c3fe2a6900805ad2a462242e13d4eb"/>
    <w:p>
      <w:pPr>
        <w:pStyle w:val="Heading3"/>
      </w:pPr>
      <w:r>
        <w:t xml:space="preserve">Scope 3 Compliance: Ensuring at least 95% Coverage (2026 Requirements)</w:t>
      </w:r>
    </w:p>
    <w:p>
      <w:pPr>
        <w:pStyle w:val="FirstParagraph"/>
      </w:pPr>
      <w:r>
        <w:t xml:space="preserve">The GHG Protocol\'s 2026 Scope 3 revisions mark a significant transformation in corporate carbon accounting, moving towards financial-grade, auditable systems. A key proposed update is the mandatory</w:t>
      </w:r>
      <w:r>
        <w:t xml:space="preserve"> </w:t>
      </w:r>
      <w:r>
        <w:rPr>
          <w:bCs/>
          <w:b/>
        </w:rPr>
        <w:t xml:space="preserve">95% completeness threshold</w:t>
      </w:r>
      <w:r>
        <w:t xml:space="preserve">, requiring companies to account for at least 95% of their total relevant Scope 3 emissions to claim conformance. This effectively ends selective disclosure. Furthermore, mandatory data disaggregation by source type (primary vs. secondary) is required to highlight data quality.</w:t>
      </w:r>
    </w:p>
    <w:p>
      <w:pPr>
        <w:pStyle w:val="BodyText"/>
      </w:pPr>
      <w:r>
        <w:t xml:space="preserve">This PCF analysis for efkndwolln is designed to meet these stringent 2026 requirements by:</w:t>
      </w:r>
    </w:p>
    <w:p>
      <w:pPr>
        <w:numPr>
          <w:ilvl w:val="0"/>
          <w:numId w:val="1011"/>
        </w:numPr>
        <w:pStyle w:val="Compact"/>
      </w:pPr>
      <w:r>
        <w:t xml:space="preserve">Including all significant upstream (materials, transport to factory) and downstream (transport to customer, use phase, end-of-life) activities.</w:t>
      </w:r>
    </w:p>
    <w:p>
      <w:pPr>
        <w:numPr>
          <w:ilvl w:val="0"/>
          <w:numId w:val="1011"/>
        </w:numPr>
        <w:pStyle w:val="Compact"/>
      </w:pPr>
      <w:r>
        <w:t xml:space="preserve">Utilizing high-accuracy material impact data (from the provided BOM placeholder, which would ideally be primary data).</w:t>
      </w:r>
    </w:p>
    <w:p>
      <w:pPr>
        <w:numPr>
          <w:ilvl w:val="0"/>
          <w:numId w:val="1011"/>
        </w:numPr>
        <w:pStyle w:val="Compact"/>
      </w:pPr>
      <w:r>
        <w:t xml:space="preserve">Incorporating specific logistics, energy consumption, and end-of-life scenarios to ensure comprehensive coverage of the product\'s value chain.</w:t>
      </w:r>
    </w:p>
    <w:p>
      <w:pPr>
        <w:numPr>
          <w:ilvl w:val="0"/>
          <w:numId w:val="1011"/>
        </w:numPr>
        <w:pStyle w:val="Compact"/>
      </w:pPr>
      <w:r>
        <w:t xml:space="preserve">Acknowledging the importance of disaggregating data by source type for future reporting, although illustrative data is used here.</w:t>
      </w:r>
    </w:p>
    <w:p>
      <w:pPr>
        <w:pStyle w:val="FirstParagraph"/>
      </w:pPr>
      <w:r>
        <w:t xml:space="preserve">By covering these extensive lifecycle stages, the analysis aims to achieve greater than 95% coverage of the product\'s value chain emissions.</w:t>
      </w:r>
    </w:p>
    <w:bookmarkEnd w:id="31"/>
    <w:bookmarkStart w:id="32" w:name="Xc0832d0f814174f67bd721fa788e259d23cce1a"/>
    <w:p>
      <w:pPr>
        <w:pStyle w:val="Heading3"/>
      </w:pPr>
      <w:r>
        <w:t xml:space="preserve">Emission Calculation by Lifecycle Stage (Illustrative Totals)</w:t>
      </w:r>
    </w:p>
    <w:p>
      <w:pPr>
        <w:pStyle w:val="FirstParagraph"/>
      </w:pPr>
      <w:r>
        <w:t xml:space="preserve">Based on the illustrative data and calculations above, the aggregated emissions for efkndwolln are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Illustrative CO2e (kg)</w:t>
            </w:r>
          </w:p>
        </w:tc>
        <w:tc>
          <w:tcPr/>
          <w:p>
            <w:pPr>
              <w:pStyle w:val="Compact"/>
              <w:jc w:val="left"/>
            </w:pPr>
            <w:r>
              <w:t xml:space="preserve">GHG Protocol Scope</w:t>
            </w:r>
          </w:p>
        </w:tc>
      </w:tr>
      <w:tr>
        <w:tc>
          <w:tcPr/>
          <w:p>
            <w:pPr>
              <w:pStyle w:val="Compact"/>
              <w:jc w:val="left"/>
            </w:pPr>
            <w:r>
              <w:t xml:space="preserve">Materials Acquisition &amp; Processing (Upstream)</w:t>
            </w:r>
          </w:p>
        </w:tc>
        <w:tc>
          <w:tcPr/>
          <w:p>
            <w:pPr>
              <w:pStyle w:val="Compact"/>
              <w:jc w:val="left"/>
            </w:pPr>
            <w:r>
              <w:t xml:space="preserve">6.65</w:t>
            </w:r>
          </w:p>
        </w:tc>
        <w:tc>
          <w:tcPr/>
          <w:p>
            <w:pPr>
              <w:pStyle w:val="Compact"/>
              <w:jc w:val="left"/>
            </w:pPr>
            <w:r>
              <w:t xml:space="preserve">Scope 3, Category 1 (Purchased Goods and Services)</w:t>
            </w:r>
          </w:p>
        </w:tc>
      </w:tr>
      <w:tr>
        <w:tc>
          <w:tcPr/>
          <w:p>
            <w:pPr>
              <w:pStyle w:val="Compact"/>
              <w:jc w:val="left"/>
            </w:pPr>
            <w:r>
              <w:t xml:space="preserve">Production Energy (Manufacturing)</w:t>
            </w:r>
          </w:p>
        </w:tc>
        <w:tc>
          <w:tcPr/>
          <w:p>
            <w:pPr>
              <w:pStyle w:val="Compact"/>
              <w:jc w:val="left"/>
            </w:pPr>
            <w:r>
              <w:t xml:space="preserve">2.0625</w:t>
            </w:r>
          </w:p>
        </w:tc>
        <w:tc>
          <w:tcPr/>
          <w:p>
            <w:pPr>
              <w:pStyle w:val="Compact"/>
              <w:jc w:val="left"/>
            </w:pPr>
            <w:r>
              <w:t xml:space="preserve">Scope 2 (Purchased Electricity)</w:t>
            </w:r>
          </w:p>
        </w:tc>
      </w:tr>
      <w:tr>
        <w:tc>
          <w:tcPr/>
          <w:p>
            <w:pPr>
              <w:pStyle w:val="Compact"/>
              <w:jc w:val="left"/>
            </w:pPr>
            <w:r>
              <w:t xml:space="preserve">Transport (Upstream &amp; Downstream)</w:t>
            </w:r>
          </w:p>
        </w:tc>
        <w:tc>
          <w:tcPr/>
          <w:p>
            <w:pPr>
              <w:pStyle w:val="Compact"/>
              <w:jc w:val="left"/>
            </w:pPr>
            <w:r>
              <w:t xml:space="preserve">0.2</w:t>
            </w:r>
          </w:p>
        </w:tc>
        <w:tc>
          <w:tcPr/>
          <w:p>
            <w:pPr>
              <w:pStyle w:val="Compact"/>
              <w:jc w:val="left"/>
            </w:pPr>
            <w:r>
              <w:t xml:space="preserve">Scope 3, Category 4 &amp; 9 (Transport &amp; Distribution)</w:t>
            </w:r>
          </w:p>
        </w:tc>
      </w:tr>
      <w:tr>
        <w:tc>
          <w:tcPr/>
          <w:p>
            <w:pPr>
              <w:pStyle w:val="Compact"/>
              <w:jc w:val="left"/>
            </w:pPr>
            <w:r>
              <w:t xml:space="preserve">Use Phase (Downstream)</w:t>
            </w:r>
          </w:p>
        </w:tc>
        <w:tc>
          <w:tcPr/>
          <w:p>
            <w:pPr>
              <w:pStyle w:val="Compact"/>
              <w:jc w:val="left"/>
            </w:pPr>
            <w:r>
              <w:t xml:space="preserve">12.5</w:t>
            </w:r>
          </w:p>
        </w:tc>
        <w:tc>
          <w:tcPr/>
          <w:p>
            <w:pPr>
              <w:pStyle w:val="Compact"/>
              <w:jc w:val="left"/>
            </w:pPr>
            <w:r>
              <w:t xml:space="preserve">Scope 3, Category 11 (Use of Sold Products)</w:t>
            </w:r>
          </w:p>
        </w:tc>
      </w:tr>
      <w:tr>
        <w:tc>
          <w:tcPr/>
          <w:p>
            <w:pPr>
              <w:pStyle w:val="Compact"/>
              <w:jc w:val="left"/>
            </w:pPr>
            <w:r>
              <w:t xml:space="preserve">End-of-Life (Downstream)</w:t>
            </w:r>
          </w:p>
        </w:tc>
        <w:tc>
          <w:tcPr/>
          <w:p>
            <w:pPr>
              <w:pStyle w:val="Compact"/>
              <w:jc w:val="left"/>
            </w:pPr>
            <w:r>
              <w:t xml:space="preserve">-0.5</w:t>
            </w:r>
          </w:p>
        </w:tc>
        <w:tc>
          <w:tcPr/>
          <w:p>
            <w:pPr>
              <w:pStyle w:val="Compact"/>
              <w:jc w:val="left"/>
            </w:pPr>
            <w:r>
              <w:t xml:space="preserve">Scope 3, Category 12 (End-of-Life Treatment of Sold Products)</w:t>
            </w:r>
          </w:p>
        </w:tc>
      </w:tr>
    </w:tbl>
    <w:bookmarkEnd w:id="32"/>
    <w:bookmarkStart w:id="33" w:name="X9b435f9006cf04294f943c0bc3e88ac8be6bd1a"/>
    <w:p>
      <w:pPr>
        <w:pStyle w:val="Heading3"/>
      </w:pPr>
      <w:r>
        <w:t xml:space="preserve">Total Product Carbon Footprint (Illustrative)</w:t>
      </w:r>
    </w:p>
    <w:p>
      <w:pPr>
        <w:pStyle w:val="FirstParagraph"/>
      </w:pPr>
      <w:r>
        <w:t xml:space="preserve">Summing the illustrative emissions from each stage:</w:t>
      </w:r>
      <w:r>
        <w:t xml:space="preserve"> </w:t>
      </w:r>
      <w:r>
        <w:t xml:space="preserve">Total PCF = 6.65 (Materials) + 2.0625 (Production Energy) + 0.2 (Transport) + 12.5 (Use Phase) - 0.5 (End-of-Life)</w:t>
      </w:r>
      <w:r>
        <w:t xml:space="preserve"> </w:t>
      </w:r>
      <w:r>
        <w:rPr>
          <w:bCs/>
          <w:b/>
        </w:rPr>
        <w:t xml:space="preserve">Total Product Carbon Footprint (Illustrative) = 20.9125 kg CO2e per unit of efkndwolln.</w:t>
      </w:r>
    </w:p>
    <w:bookmarkEnd w:id="33"/>
    <w:bookmarkStart w:id="34" w:name="X6855cd2c97b7703daaf12780c6b858b8f262910"/>
    <w:p>
      <w:pPr>
        <w:pStyle w:val="Heading3"/>
      </w:pPr>
      <w:r>
        <w:t xml:space="preserve">Illustrative Emissions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Illustrative CO2e (kg)</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2.0625</w:t>
            </w:r>
          </w:p>
        </w:tc>
        <w:tc>
          <w:tcPr/>
          <w:p>
            <w:pPr>
              <w:pStyle w:val="Compact"/>
              <w:jc w:val="left"/>
            </w:pPr>
            <w:r>
              <w:t xml:space="preserve">9.86%</w:t>
            </w:r>
          </w:p>
        </w:tc>
      </w:tr>
      <w:tr>
        <w:tc>
          <w:tcPr/>
          <w:p>
            <w:pPr>
              <w:pStyle w:val="Compact"/>
              <w:jc w:val="left"/>
            </w:pPr>
            <w:r>
              <w:t xml:space="preserve">Scope 3</w:t>
            </w:r>
          </w:p>
        </w:tc>
        <w:tc>
          <w:tcPr/>
          <w:p>
            <w:pPr>
              <w:pStyle w:val="Compact"/>
              <w:jc w:val="left"/>
            </w:pPr>
            <w:r>
              <w:t xml:space="preserve">18.85</w:t>
            </w:r>
          </w:p>
        </w:tc>
        <w:tc>
          <w:tcPr/>
          <w:p>
            <w:pPr>
              <w:pStyle w:val="Compact"/>
              <w:jc w:val="left"/>
            </w:pPr>
            <w:r>
              <w:t xml:space="preserve">90.14%</w:t>
            </w:r>
          </w:p>
        </w:tc>
      </w:tr>
      <w:tr>
        <w:tc>
          <w:tcPr/>
          <w:p>
            <w:pPr>
              <w:pStyle w:val="Compact"/>
              <w:jc w:val="left"/>
            </w:pPr>
            <w:r>
              <w:t xml:space="preserve">Total</w:t>
            </w:r>
          </w:p>
        </w:tc>
        <w:tc>
          <w:tcPr/>
          <w:p>
            <w:pPr>
              <w:pStyle w:val="Compact"/>
              <w:jc w:val="left"/>
            </w:pPr>
            <w:r>
              <w:t xml:space="preserve">20.9125</w:t>
            </w:r>
          </w:p>
        </w:tc>
        <w:tc>
          <w:tcPr/>
          <w:p>
            <w:pPr>
              <w:pStyle w:val="Compact"/>
              <w:jc w:val="left"/>
            </w:pPr>
            <w:r>
              <w:t xml:space="preserve">100.0%</w:t>
            </w:r>
          </w:p>
        </w:tc>
      </w:tr>
    </w:tbl>
    <w:p>
      <w:pPr>
        <w:pStyle w:val="BodyText"/>
      </w:pPr>
      <w:r>
        <w:t xml:space="preserve">*Note: Scope 3 total includes a net credit of -0.5 kg CO2e from End-of-Life.</w:t>
      </w:r>
    </w:p>
    <w:p>
      <w:r>
        <w:pict>
          <v:rect style="width:0;height:1.5pt" o:hralign="center" o:hrstd="t" o:hr="t"/>
        </w:pict>
      </w:r>
    </w:p>
    <w:bookmarkEnd w:id="34"/>
    <w:bookmarkEnd w:id="35"/>
    <w:bookmarkStart w:id="39" w:name="review-report"/>
    <w:p>
      <w:pPr>
        <w:pStyle w:val="Heading2"/>
      </w:pPr>
      <w:r>
        <w:t xml:space="preserve">5. Review &amp; Report</w:t>
      </w:r>
    </w:p>
    <w:p>
      <w:pPr>
        <w:pStyle w:val="FirstParagraph"/>
      </w:pPr>
      <w:r>
        <w:t xml:space="preserve">This final stage involves reviewing the results, identifying emission hotspots, assessing data reliability, and providing recommendations.</w:t>
      </w:r>
    </w:p>
    <w:bookmarkStart w:id="36" w:name="emission-hotspots-illustrative"/>
    <w:p>
      <w:pPr>
        <w:pStyle w:val="Heading3"/>
      </w:pPr>
      <w:r>
        <w:t xml:space="preserve">Emission Hotspots (Illustrative)</w:t>
      </w:r>
    </w:p>
    <w:p>
      <w:pPr>
        <w:pStyle w:val="FirstParagraph"/>
      </w:pPr>
      <w:r>
        <w:t xml:space="preserve">Based on the illustrative calculations, the primary emission hotspots for efkndwolln are:</w:t>
      </w:r>
    </w:p>
    <w:p>
      <w:pPr>
        <w:numPr>
          <w:ilvl w:val="0"/>
          <w:numId w:val="1012"/>
        </w:numPr>
        <w:pStyle w:val="Compact"/>
      </w:pPr>
      <w:r>
        <w:rPr>
          <w:bCs/>
          <w:b/>
        </w:rPr>
        <w:t xml:space="preserve">Use Phase (12.5 kg CO2e / ~60% of total):</w:t>
      </w:r>
      <w:r>
        <w:t xml:space="preserve"> </w:t>
      </w:r>
      <w:r>
        <w:t xml:space="preserve">This is the most significant contributor, largely due to energy consumption over the product\'s lifespan. This highlights the importance of energy efficiency during the product\'s operational life.</w:t>
      </w:r>
    </w:p>
    <w:p>
      <w:pPr>
        <w:numPr>
          <w:ilvl w:val="0"/>
          <w:numId w:val="1012"/>
        </w:numPr>
        <w:pStyle w:val="Compact"/>
      </w:pPr>
      <w:r>
        <w:rPr>
          <w:bCs/>
          <w:b/>
        </w:rPr>
        <w:t xml:space="preserve">Materials Acquisition &amp; Processing (6.65 kg CO2e / ~32% of total):</w:t>
      </w:r>
      <w:r>
        <w:t xml:space="preserve"> </w:t>
      </w:r>
      <w:r>
        <w:t xml:space="preserve">The production of raw materials, particularly the aluminum alloy and electronic components, contributes substantially to the overall footprint.</w:t>
      </w:r>
    </w:p>
    <w:p>
      <w:pPr>
        <w:numPr>
          <w:ilvl w:val="0"/>
          <w:numId w:val="1012"/>
        </w:numPr>
        <w:pStyle w:val="Compact"/>
      </w:pPr>
      <w:r>
        <w:rPr>
          <w:bCs/>
          <w:b/>
        </w:rPr>
        <w:t xml:space="preserve">Production Energy (2.0625 kg CO2e / ~10% of total):</w:t>
      </w:r>
      <w:r>
        <w:t xml:space="preserve"> </w:t>
      </w:r>
      <w:r>
        <w:t xml:space="preserve">While renewable energy usage is assumed at 70%, the remaining non-renewable grid electricity still contributes to the footprint.</w:t>
      </w:r>
    </w:p>
    <w:bookmarkEnd w:id="36"/>
    <w:bookmarkStart w:id="37" w:name="data-reliability-and-limitations"/>
    <w:p>
      <w:pPr>
        <w:pStyle w:val="Heading3"/>
      </w:pPr>
      <w:r>
        <w:t xml:space="preserve">Data Reliability and Limitations</w:t>
      </w:r>
    </w:p>
    <w:p>
      <w:pPr>
        <w:pStyle w:val="FirstParagraph"/>
      </w:pPr>
      <w:r>
        <w:t xml:space="preserve">This report is based on the parameters provided. As many input parameters (`xjnrkfgz`, `Select Mode`, `gdnoirweqm`, `Delivery Type`, `pvvdgklygj`, `juwihujgnz`, `zwjdieyqyh`, `hoyhzwmofj`, `qjlsxyemyx`, `lvziqnyohs`) were placeholders, illustrative values were used for calculations. The accuracy of this PCF is therefore contingent on the precision and representativeness of actual primary and secondary data that would be collected in a real-world assessment.</w:t>
      </w:r>
    </w:p>
    <w:p>
      <w:pPr>
        <w:pStyle w:val="BodyText"/>
      </w:pPr>
      <w:r>
        <w:t xml:space="preserve">For a full, auditable report, it would be critical to:</w:t>
      </w:r>
    </w:p>
    <w:p>
      <w:pPr>
        <w:numPr>
          <w:ilvl w:val="0"/>
          <w:numId w:val="1013"/>
        </w:numPr>
        <w:pStyle w:val="Compact"/>
      </w:pPr>
      <w:r>
        <w:t xml:space="preserve">Obtain primary data from suppliers for detailed Bill of Materials.</w:t>
      </w:r>
    </w:p>
    <w:p>
      <w:pPr>
        <w:numPr>
          <w:ilvl w:val="0"/>
          <w:numId w:val="1013"/>
        </w:numPr>
        <w:pStyle w:val="Compact"/>
      </w:pPr>
      <w:r>
        <w:t xml:space="preserve">Secure exact energy consumption data and renewable energy procurement certificates for manufacturing.</w:t>
      </w:r>
    </w:p>
    <w:p>
      <w:pPr>
        <w:numPr>
          <w:ilvl w:val="0"/>
          <w:numId w:val="1013"/>
        </w:numPr>
        <w:pStyle w:val="Compact"/>
      </w:pPr>
      <w:r>
        <w:t xml:space="preserve">Collect precise transportation data, including actual modes, distances, and freight efficiencies.</w:t>
      </w:r>
    </w:p>
    <w:p>
      <w:pPr>
        <w:numPr>
          <w:ilvl w:val="0"/>
          <w:numId w:val="1013"/>
        </w:numPr>
        <w:pStyle w:val="Compact"/>
      </w:pPr>
      <w:r>
        <w:t xml:space="preserve">Verify use-phase energy consumption patterns and regional grid emission factors for actual usage locations.</w:t>
      </w:r>
    </w:p>
    <w:p>
      <w:pPr>
        <w:numPr>
          <w:ilvl w:val="0"/>
          <w:numId w:val="1013"/>
        </w:numPr>
        <w:pStyle w:val="Compact"/>
      </w:pPr>
      <w:r>
        <w:t xml:space="preserve">Confirm end-of-life treatment routes and actual recycling rates.</w:t>
      </w:r>
    </w:p>
    <w:p>
      <w:pPr>
        <w:numPr>
          <w:ilvl w:val="0"/>
          <w:numId w:val="1013"/>
        </w:numPr>
        <w:pStyle w:val="Compact"/>
      </w:pPr>
      <w:r>
        <w:t xml:space="preserve">Utilize specific, up-to-date emission factors from reputable databases like Ecoinvent (v3.12 released in 2025) or country-specific governmental sources like DEFRA/DESNZ 2025 factors, ensuring geographical and technological relevance.</w:t>
      </w:r>
    </w:p>
    <w:bookmarkEnd w:id="37"/>
    <w:bookmarkStart w:id="38" w:name="recommendations"/>
    <w:p>
      <w:pPr>
        <w:pStyle w:val="Heading3"/>
      </w:pPr>
      <w:r>
        <w:t xml:space="preserve">Recommendations</w:t>
      </w:r>
    </w:p>
    <w:p>
      <w:pPr>
        <w:pStyle w:val="FirstParagraph"/>
      </w:pPr>
      <w:r>
        <w:t xml:space="preserve">Based on this illustrative PCF analysis, Senior Sustainability Consultant irhsjqhjhq recommends the following for tnweqjjjsq to reduce the carbon footprint of efkndwolln:</w:t>
      </w:r>
    </w:p>
    <w:p>
      <w:pPr>
        <w:numPr>
          <w:ilvl w:val="0"/>
          <w:numId w:val="1014"/>
        </w:numPr>
        <w:pStyle w:val="Compact"/>
      </w:pPr>
      <w:r>
        <w:rPr>
          <w:bCs/>
          <w:b/>
        </w:rPr>
        <w:t xml:space="preserve">Optimize Use Phase:</w:t>
      </w:r>
      <w:r>
        <w:t xml:space="preserve"> </w:t>
      </w:r>
      <w:r>
        <w:t xml:space="preserve">Focus on improving the energy efficiency of efkndwolln during its operational life. This could involve design changes, promotion of energy-saving user behavior, or switching to low-carbon energy sources where the product is used.</w:t>
      </w:r>
    </w:p>
    <w:p>
      <w:pPr>
        <w:numPr>
          <w:ilvl w:val="0"/>
          <w:numId w:val="1014"/>
        </w:numPr>
        <w:pStyle w:val="Compact"/>
      </w:pPr>
      <w:r>
        <w:rPr>
          <w:bCs/>
          <w:b/>
        </w:rPr>
        <w:t xml:space="preserve">Material Decarbonization:</w:t>
      </w:r>
      <w:r>
        <w:t xml:space="preserve"> </w:t>
      </w:r>
      <w:r>
        <w:t xml:space="preserve">Investigate opportunities for using lower-carbon materials, increasing recycled content beyond current levels, or sourcing from suppliers with strong decarbonization efforts. For instance, exploring alternative materials to primary aluminum for components with high material impact.</w:t>
      </w:r>
    </w:p>
    <w:p>
      <w:pPr>
        <w:numPr>
          <w:ilvl w:val="0"/>
          <w:numId w:val="1014"/>
        </w:numPr>
        <w:pStyle w:val="Compact"/>
      </w:pPr>
      <w:r>
        <w:rPr>
          <w:bCs/>
          <w:b/>
        </w:rPr>
        <w:t xml:space="preserve">Enhance Production Efficiency &amp; Renewable Energy:</w:t>
      </w:r>
      <w:r>
        <w:t xml:space="preserve"> </w:t>
      </w:r>
      <w:r>
        <w:t xml:space="preserve">Further increase the share of renewable energy at the manufacturing facility. Even with 70% renewable usage, the remaining grid electricity contributes significantly. Explore on-site renewable generation or higher-quality renewable energy procurement.</w:t>
      </w:r>
    </w:p>
    <w:p>
      <w:pPr>
        <w:numPr>
          <w:ilvl w:val="0"/>
          <w:numId w:val="1014"/>
        </w:numPr>
        <w:pStyle w:val="Compact"/>
      </w:pPr>
      <w:r>
        <w:rPr>
          <w:bCs/>
          <w:b/>
        </w:rPr>
        <w:t xml:space="preserve">Supply Chain Engagement:</w:t>
      </w:r>
      <w:r>
        <w:t xml:space="preserve"> </w:t>
      </w:r>
      <w:r>
        <w:t xml:space="preserve">Work closely with upstream suppliers to obtain primary emission data and encourage their decarbonization efforts, particularly for high-impact components.</w:t>
      </w:r>
    </w:p>
    <w:p>
      <w:pPr>
        <w:numPr>
          <w:ilvl w:val="0"/>
          <w:numId w:val="1014"/>
        </w:numPr>
        <w:pStyle w:val="Compact"/>
      </w:pPr>
      <w:r>
        <w:rPr>
          <w:bCs/>
          <w:b/>
        </w:rPr>
        <w:t xml:space="preserve">Circular Economy Strategies:</w:t>
      </w:r>
      <w:r>
        <w:t xml:space="preserve"> </w:t>
      </w:r>
      <w:r>
        <w:t xml:space="preserve">Strengthen take-back programs and explore design-for-disassembly and repairability to extend product lifespan and maximize material recovery at end-of-life.</w:t>
      </w:r>
    </w:p>
    <w:p>
      <w:r>
        <w:pict>
          <v:rect style="width:0;height:1.5pt" o:hralign="center" o:hrstd="t" o:hr="t"/>
        </w:pict>
      </w:r>
    </w:p>
    <w:p>
      <w:pPr>
        <w:pStyle w:val="FirstParagraph"/>
      </w:pPr>
      <w:r>
        <w:t xml:space="preserve">This report is generated based on available data and industry standards.</w:t>
      </w:r>
      <w:r>
        <w:t xml:space="preserve"> </w:t>
      </w:r>
      <w:r>
        <w:t xml:space="preserve">The values presented for illustrative parameters are hypothetical and would require actual</w:t>
      </w:r>
      <w:r>
        <w:t xml:space="preserve"> </w:t>
      </w:r>
      <w:r>
        <w:t xml:space="preserve">primary and secondary data for precise calculation in a real-world scenario.</w:t>
      </w:r>
      <w:r>
        <w:t xml:space="preserve"> </w:t>
      </w:r>
      <w:r>
        <w:t xml:space="preserve">The GHG Protocol 2026 updates are incorporated based on current understanding and progress reports.</w:t>
      </w:r>
    </w:p>
    <w:bookmarkEnd w:id="38"/>
    <w:bookmarkEnd w:id="39"/>
    <w:bookmarkEnd w:id="40"/>
    <w:p>
      <w:pPr>
        <w:pStyle w:val="BodyText"/>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efkndwolln</dc:title>
  <dc:creator/>
  <dc:description>Detailed Product Carbon Footprint (PCF) analysis for efkndwolln by Senior Sustainability Consultant irhsjqhjhq for tnweqjjjsq, adhering to GHG Protocol and 2026 updates.</dc:description>
  <dc:language>en</dc:language>
  <cp:keywords/>
  <dcterms:created xsi:type="dcterms:W3CDTF">2026-05-30T12:41:09Z</dcterms:created>
  <dcterms:modified xsi:type="dcterms:W3CDTF">2026-05-30T12:41:09Z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