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eetfjdlpkg</w:t>
      </w:r>
      <w:r>
        <w:t xml:space="preserve"> </w:t>
      </w:r>
      <w:r>
        <w:t xml:space="preserve">-</w:t>
      </w:r>
      <w:r>
        <w:t xml:space="preserve"> </w:t>
      </w:r>
      <w:r>
        <w:t xml:space="preserve">yskjzuikmn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eetfjdlpkg</w:t>
      </w:r>
    </w:p>
    <w:p>
      <w:pPr>
        <w:pStyle w:val="BodyText"/>
      </w:pPr>
      <w:r>
        <w:rPr>
          <w:bCs/>
          <w:b/>
        </w:rPr>
        <w:t xml:space="preserve">Company Name:</w:t>
      </w:r>
      <w:r>
        <w:t xml:space="preserve"> </w:t>
      </w:r>
      <w:r>
        <w:t xml:space="preserve">yskjzuikmn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egtmnzzkju</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data.</w:t>
      </w:r>
    </w:p>
    <w:bookmarkEnd w:id="20"/>
    <w:bookmarkStart w:id="35" w:name="X07eb75f56bf04b2d41b2b06f9b4697411172571"/>
    <w:p>
      <w:pPr>
        <w:pStyle w:val="Heading1"/>
      </w:pPr>
      <w:r>
        <w:t xml:space="preserve">Product Carbon Footprint Analysis for eetfjdlpkg</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eetfjdlpkg</w:t>
      </w:r>
      <w:r>
        <w:t xml:space="preserve"> </w:t>
      </w:r>
      <w:r>
        <w:t xml:space="preserve">manufactured by</w:t>
      </w:r>
      <w:r>
        <w:t xml:space="preserve"> </w:t>
      </w:r>
      <w:r>
        <w:rPr>
          <w:bCs/>
          <w:b/>
        </w:rPr>
        <w:t xml:space="preserve">yskjzuikmn</w:t>
      </w:r>
      <w:r>
        <w:t xml:space="preserve">. Conducted by Senior Sustainability Consultant</w:t>
      </w:r>
      <w:r>
        <w:t xml:space="preserve"> </w:t>
      </w:r>
      <w:r>
        <w:rPr>
          <w:bCs/>
          <w:b/>
        </w:rPr>
        <w:t xml:space="preserve">egtmnzzkju</w:t>
      </w:r>
      <w:r>
        <w:t xml:space="preserve">, this analysis adheres strictly to the GHG Protocol accounting standard, including the 2026 Land Sector and Removals (LSR) Standard update and ensuring over 95% Scope 3 coverage. The assessment covers the lifecycle from raw material acquisition to factory gate (System Boundary: factory_gate), with a focus on a Europe-focused supply chain and final production in China. The findings highlight key emission hotspots across material sourcing, manufacturing, transportation, use phase, and end-of-life, providing actionable insights for emission reduction strategies.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foundational parameters for this Product Carbon Footprint analysis are defined as follows:</w:t>
      </w:r>
    </w:p>
    <w:p>
      <w:pPr>
        <w:numPr>
          <w:ilvl w:val="0"/>
          <w:numId w:val="1001"/>
        </w:numPr>
        <w:pStyle w:val="Compact"/>
      </w:pPr>
      <w:r>
        <w:rPr>
          <w:bCs/>
          <w:b/>
        </w:rPr>
        <w:t xml:space="preserve">Functional Unit:</w:t>
      </w:r>
      <w:r>
        <w:t xml:space="preserve"> </w:t>
      </w:r>
      <w:r>
        <w:t xml:space="preserve">1.0 unit of eetfjdlpkg</w:t>
      </w:r>
    </w:p>
    <w:p>
      <w:pPr>
        <w:numPr>
          <w:ilvl w:val="0"/>
          <w:numId w:val="1001"/>
        </w:numPr>
        <w:pStyle w:val="Compact"/>
      </w:pPr>
      <w:r>
        <w:rPr>
          <w:bCs/>
          <w:b/>
        </w:rPr>
        <w:t xml:space="preserve">System Boundary:</w:t>
      </w:r>
      <w:r>
        <w:t xml:space="preserve"> </w:t>
      </w:r>
      <w:r>
        <w:t xml:space="preserve">factory_gate. This includes emissions from raw material extraction, processing, component manufacturing, and all transportation up to the point where the finished product leaves the manufacturing facility. Additionally, the analysis extends beyond the factory gate to include the use phase and end-of-life scenarios as per the detailed parameters provided. The GHG Protocol Product Standard provides requirements and guidance for quantifying GHG emissions and removals associated with a specific product\'s life cycle.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some manufacturing stages may occur in Europe before final assembly in China, and potentially distribution to Europe).</w:t>
      </w:r>
    </w:p>
    <w:p>
      <w:pPr>
        <w:numPr>
          <w:ilvl w:val="0"/>
          <w:numId w:val="1001"/>
        </w:numPr>
        <w:pStyle w:val="Compact"/>
      </w:pPr>
      <w:r>
        <w:rPr>
          <w:bCs/>
          <w:b/>
        </w:rPr>
        <w:t xml:space="preserve">Accounting Standard:</w:t>
      </w:r>
      <w:r>
        <w:t xml:space="preserve"> </w:t>
      </w:r>
      <w:r>
        <w:t xml:space="preserve">GHG Protocol. This analysis categorizes emissions into Scope 1 (direct emissions), Scope 2 (indirect emissions from purchased energy), and Scope 3 (all other indirect emissions in the value chain, upstream and downstream). The GHG Protocol supplies the world\'s most widely used greenhouse gas accounting standards and guidance.</w:t>
      </w:r>
    </w:p>
    <w:p>
      <w:pPr>
        <w:numPr>
          <w:ilvl w:val="0"/>
          <w:numId w:val="1001"/>
        </w:numPr>
        <w:pStyle w:val="Compact"/>
      </w:pPr>
      <w:r>
        <w:rPr>
          <w:bCs/>
          <w:b/>
        </w:rPr>
        <w:t xml:space="preserve">Allocation:</w:t>
      </w:r>
      <w:r>
        <w:t xml:space="preserve"> </w:t>
      </w:r>
      <w:r>
        <w:t xml:space="preserve">Emissions are allocated directly to the functional unit (1.0 unit of eetfjdlpkg) based on material mass, energy consumption, and distance-based transportation. Co-product allocation, if any, is assumed to be handled proportionally by mass or economic value for shared processes in upstream supply chain data.</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The lifecycle of eetfjdlpkg is mapped across several stages, with data collected from primary and secondary sources to build a comprehensive Life Cycle Inventory (LCI). Emission factors are sourced from industry-standard databases, such as Ecoinvent and DEFRA.</w:t>
      </w:r>
    </w:p>
    <w:bookmarkStart w:id="23" w:name="X977c52d6791ca642997618186adc5cc8fb2b8af"/>
    <w:p>
      <w:pPr>
        <w:pStyle w:val="Heading3"/>
      </w:pPr>
      <w:r>
        <w:t xml:space="preserve">Detailed Bill of Materials (BOM) - Materials Acquisition and Production</w:t>
      </w:r>
    </w:p>
    <w:p>
      <w:pPr>
        <w:pStyle w:val="FirstParagraph"/>
      </w:pPr>
      <w:r>
        <w:t xml:space="preserve">The following detailed Bill of Materials (BOM) provides specific data for the material inputs of eetfjdlpkg. The \'Total Carbon\' for each item is directly used for calculating the material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M5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bookmarkEnd w:id="23"/>
    <w:bookmarkStart w:id="24" w:name="energy-inputs---manufacturing-phase"/>
    <w:p>
      <w:pPr>
        <w:pStyle w:val="Heading3"/>
      </w:pPr>
      <w:r>
        <w:t xml:space="preserve">Energy Inputs - Manufacturing Phase</w:t>
      </w:r>
    </w:p>
    <w:p>
      <w:pPr>
        <w:pStyle w:val="FirstParagraph"/>
      </w:pPr>
      <w:r>
        <w:t xml:space="preserve">Data specific to the manufacturing phase within the final production country (China) has been used:</w:t>
      </w:r>
    </w:p>
    <w:p>
      <w:pPr>
        <w:numPr>
          <w:ilvl w:val="0"/>
          <w:numId w:val="1003"/>
        </w:numPr>
        <w:pStyle w:val="Compact"/>
      </w:pPr>
      <w:r>
        <w:rPr>
          <w:bCs/>
          <w:b/>
        </w:rPr>
        <w:t xml:space="preserve">Energy Intensity (kWh/unit):</w:t>
      </w:r>
      <w:r>
        <w:t xml:space="preserve"> </w:t>
      </w:r>
      <w:r>
        <w:t xml:space="preserve">rsdinsgkei kWh/unit (e.g., 0.35 kWh/unit)</w:t>
      </w:r>
    </w:p>
    <w:p>
      <w:pPr>
        <w:numPr>
          <w:ilvl w:val="0"/>
          <w:numId w:val="1003"/>
        </w:numPr>
        <w:pStyle w:val="Compact"/>
      </w:pPr>
      <w:r>
        <w:rPr>
          <w:bCs/>
          <w:b/>
        </w:rPr>
        <w:t xml:space="preserve">Renewable Energy Usage:</w:t>
      </w:r>
      <w:r>
        <w:t xml:space="preserve"> </w:t>
      </w:r>
      <w:r>
        <w:t xml:space="preserve">mjprdrhvyv (e.g., 70% of electricity purchased is from renewable sources).</w:t>
      </w:r>
    </w:p>
    <w:p>
      <w:pPr>
        <w:numPr>
          <w:ilvl w:val="0"/>
          <w:numId w:val="1003"/>
        </w:numPr>
        <w:pStyle w:val="Compact"/>
      </w:pPr>
      <w:r>
        <w:rPr>
          <w:bCs/>
          <w:b/>
        </w:rPr>
        <w:t xml:space="preserve">Grid Electricity Emission Factor (China):</w:t>
      </w:r>
      <w:r>
        <w:t xml:space="preserve"> </w:t>
      </w:r>
      <w:r>
        <w:t xml:space="preserve">0.6 kgCO2e/kWh (assumed industry average for China\'s grid mix).</w:t>
      </w:r>
    </w:p>
    <w:p>
      <w:pPr>
        <w:numPr>
          <w:ilvl w:val="0"/>
          <w:numId w:val="1003"/>
        </w:numPr>
        <w:pStyle w:val="Compact"/>
      </w:pPr>
      <w:r>
        <w:rPr>
          <w:bCs/>
          <w:b/>
        </w:rPr>
        <w:t xml:space="preserve">Renewable Electricity Emission Factor:</w:t>
      </w:r>
      <w:r>
        <w:t xml:space="preserve"> </w:t>
      </w:r>
      <w:r>
        <w:t xml:space="preserve">0.0 kgCO2e/kWh (at point of use for certified renewable energy; upstream emissions in infrastructure are typically outside operational boundaries or embedded in supplier data).</w:t>
      </w:r>
    </w:p>
    <w:bookmarkEnd w:id="24"/>
    <w:bookmarkStart w:id="25" w:name="logistics-data---transport-phase"/>
    <w:p>
      <w:pPr>
        <w:pStyle w:val="Heading3"/>
      </w:pPr>
      <w:r>
        <w:t xml:space="preserve">Logistics Data - Transport Phase</w:t>
      </w:r>
    </w:p>
    <w:p>
      <w:pPr>
        <w:pStyle w:val="FirstParagraph"/>
      </w:pPr>
      <w:r>
        <w:t xml:space="preserve">Logistics data incorporates both upstream supply chain and downstream distribution components:</w:t>
      </w:r>
    </w:p>
    <w:p>
      <w:pPr>
        <w:numPr>
          <w:ilvl w:val="0"/>
          <w:numId w:val="1004"/>
        </w:numPr>
        <w:pStyle w:val="Compact"/>
      </w:pPr>
      <w:r>
        <w:rPr>
          <w:bCs/>
          <w:b/>
        </w:rPr>
        <w:t xml:space="preserve">Primary Transport Mode (Supply Chain):</w:t>
      </w:r>
      <w:r>
        <w:t xml:space="preserve"> </w:t>
      </w:r>
      <w:r>
        <w:t xml:space="preserve">Select Mode (e.g., Ocean Freight, Road Freight)</w:t>
      </w:r>
    </w:p>
    <w:p>
      <w:pPr>
        <w:numPr>
          <w:ilvl w:val="0"/>
          <w:numId w:val="1004"/>
        </w:numPr>
        <w:pStyle w:val="Compact"/>
      </w:pPr>
      <w:r>
        <w:rPr>
          <w:bCs/>
          <w:b/>
        </w:rPr>
        <w:t xml:space="preserve">Primary Transport Distance (Supply Chain):</w:t>
      </w:r>
      <w:r>
        <w:t xml:space="preserve"> </w:t>
      </w:r>
      <w:r>
        <w:t xml:space="preserve">kjiksypkkd (e.g., Ocean Freight: 15,000 km, Road Freight: 500 km)</w:t>
      </w:r>
    </w:p>
    <w:p>
      <w:pPr>
        <w:numPr>
          <w:ilvl w:val="0"/>
          <w:numId w:val="1004"/>
        </w:numPr>
        <w:pStyle w:val="Compact"/>
      </w:pPr>
      <w:r>
        <w:rPr>
          <w:bCs/>
          <w:b/>
        </w:rPr>
        <w:t xml:space="preserve">Last-Mile Delivery Channel:</w:t>
      </w:r>
      <w:r>
        <w:t xml:space="preserve"> </w:t>
      </w:r>
      <w:r>
        <w:t xml:space="preserve">Delivery Type (e.g., Last-Mile Van Delivery)</w:t>
      </w:r>
    </w:p>
    <w:p>
      <w:pPr>
        <w:numPr>
          <w:ilvl w:val="0"/>
          <w:numId w:val="1004"/>
        </w:numPr>
        <w:pStyle w:val="Compact"/>
      </w:pPr>
      <w:r>
        <w:rPr>
          <w:bCs/>
          <w:b/>
        </w:rPr>
        <w:t xml:space="preserve">Last-Mile Distance (Assumed):</w:t>
      </w:r>
      <w:r>
        <w:t xml:space="preserve"> </w:t>
      </w:r>
      <w:r>
        <w:t xml:space="preserve">50 km (per unit, typical average)</w:t>
      </w:r>
    </w:p>
    <w:p>
      <w:pPr>
        <w:numPr>
          <w:ilvl w:val="0"/>
          <w:numId w:val="1004"/>
        </w:numPr>
        <w:pStyle w:val="Compact"/>
      </w:pPr>
      <w:r>
        <w:rPr>
          <w:bCs/>
          <w:b/>
        </w:rPr>
        <w:t xml:space="preserve">Assumed Product Weight:</w:t>
      </w:r>
      <w:r>
        <w:t xml:space="preserve"> </w:t>
      </w:r>
      <w:r>
        <w:t xml:space="preserve">3.0 kg/unit (for transport calculations)</w:t>
      </w:r>
    </w:p>
    <w:p>
      <w:pPr>
        <w:numPr>
          <w:ilvl w:val="0"/>
          <w:numId w:val="1004"/>
        </w:numPr>
        <w:pStyle w:val="Compact"/>
      </w:pPr>
      <w:r>
        <w:rPr>
          <w:bCs/>
          <w:b/>
        </w:rPr>
        <w:t xml:space="preserve">Assumed Transport Emission Factors:</w:t>
      </w:r>
    </w:p>
    <w:p>
      <w:pPr>
        <w:numPr>
          <w:ilvl w:val="1"/>
          <w:numId w:val="1005"/>
        </w:numPr>
        <w:pStyle w:val="Compact"/>
      </w:pPr>
      <w:r>
        <w:t xml:space="preserve">Ocean Freight: 0.01 kgCO2e/tonne-km</w:t>
      </w:r>
    </w:p>
    <w:p>
      <w:pPr>
        <w:numPr>
          <w:ilvl w:val="1"/>
          <w:numId w:val="1005"/>
        </w:numPr>
        <w:pStyle w:val="Compact"/>
      </w:pPr>
      <w:r>
        <w:t xml:space="preserve">Road Freight (HGV): 0.08 kgCO2e/tonne-km</w:t>
      </w:r>
    </w:p>
    <w:p>
      <w:pPr>
        <w:numPr>
          <w:ilvl w:val="1"/>
          <w:numId w:val="1005"/>
        </w:numPr>
        <w:pStyle w:val="Compact"/>
      </w:pPr>
      <w:r>
        <w:t xml:space="preserve">Last-Mile Van Delivery: 0.2 kgCO2e/km (per unit, representing typical average for light delivery vehicles)</w:t>
      </w:r>
    </w:p>
    <w:bookmarkEnd w:id="25"/>
    <w:bookmarkStart w:id="26" w:name="use-phase-data"/>
    <w:p>
      <w:pPr>
        <w:pStyle w:val="Heading3"/>
      </w:pPr>
      <w:r>
        <w:t xml:space="preserve">Use Phase Data</w:t>
      </w:r>
    </w:p>
    <w:p>
      <w:pPr>
        <w:pStyle w:val="FirstParagraph"/>
      </w:pPr>
      <w:r>
        <w:t xml:space="preserve">The use phase impacts are calculated based on the product\'s lifespan and energy consumption:</w:t>
      </w:r>
    </w:p>
    <w:p>
      <w:pPr>
        <w:numPr>
          <w:ilvl w:val="0"/>
          <w:numId w:val="1006"/>
        </w:numPr>
        <w:pStyle w:val="Compact"/>
      </w:pPr>
      <w:r>
        <w:rPr>
          <w:bCs/>
          <w:b/>
        </w:rPr>
        <w:t xml:space="preserve">Product Lifespan:</w:t>
      </w:r>
      <w:r>
        <w:t xml:space="preserve"> </w:t>
      </w:r>
      <w:r>
        <w:t xml:space="preserve">xetwkoeyut (e.g., 5 years)</w:t>
      </w:r>
    </w:p>
    <w:p>
      <w:pPr>
        <w:numPr>
          <w:ilvl w:val="0"/>
          <w:numId w:val="1006"/>
        </w:numPr>
        <w:pStyle w:val="Compact"/>
      </w:pPr>
      <w:r>
        <w:rPr>
          <w:bCs/>
          <w:b/>
        </w:rPr>
        <w:t xml:space="preserve">Energy Consumption in Use:</w:t>
      </w:r>
      <w:r>
        <w:t xml:space="preserve"> </w:t>
      </w:r>
      <w:r>
        <w:t xml:space="preserve">mozsqyhhrd (e.g., 50 kWh/year)</w:t>
      </w:r>
    </w:p>
    <w:bookmarkEnd w:id="26"/>
    <w:bookmarkStart w:id="27" w:name="end-of-life-eol-scenarios"/>
    <w:p>
      <w:pPr>
        <w:pStyle w:val="Heading3"/>
      </w:pPr>
      <w:r>
        <w:t xml:space="preserve">End-of-Life (EoL) Scenarios</w:t>
      </w:r>
    </w:p>
    <w:p>
      <w:pPr>
        <w:pStyle w:val="FirstParagraph"/>
      </w:pPr>
      <w:r>
        <w:t xml:space="preserve">EoL scenarios account for circularity and waste management:</w:t>
      </w:r>
    </w:p>
    <w:p>
      <w:pPr>
        <w:numPr>
          <w:ilvl w:val="0"/>
          <w:numId w:val="1007"/>
        </w:numPr>
        <w:pStyle w:val="Compact"/>
      </w:pPr>
      <w:r>
        <w:rPr>
          <w:bCs/>
          <w:b/>
        </w:rPr>
        <w:t xml:space="preserve">Recyclability Percentage:</w:t>
      </w:r>
      <w:r>
        <w:t xml:space="preserve"> </w:t>
      </w:r>
      <w:r>
        <w:t xml:space="preserve">wrqgduhvft (e.g., 80%)</w:t>
      </w:r>
    </w:p>
    <w:p>
      <w:pPr>
        <w:numPr>
          <w:ilvl w:val="0"/>
          <w:numId w:val="1007"/>
        </w:numPr>
        <w:pStyle w:val="Compact"/>
      </w:pPr>
      <w:r>
        <w:rPr>
          <w:bCs/>
          <w:b/>
        </w:rPr>
        <w:t xml:space="preserve">Circular/Take-back Programs:</w:t>
      </w:r>
      <w:r>
        <w:t xml:space="preserve"> </w:t>
      </w:r>
      <w:r>
        <w:t xml:space="preserve">filkottvug (e.g., "yskjzuikmn operates a product take-back and refurbishment program, extending product life and recovering valuable materials.")</w:t>
      </w:r>
    </w:p>
    <w:p>
      <w:pPr>
        <w:numPr>
          <w:ilvl w:val="0"/>
          <w:numId w:val="1007"/>
        </w:numPr>
        <w:pStyle w:val="Compact"/>
      </w:pPr>
      <w:r>
        <w:rPr>
          <w:bCs/>
          <w:b/>
        </w:rPr>
        <w:t xml:space="preserve">Assumed EoL Emission Factors:</w:t>
      </w:r>
    </w:p>
    <w:p>
      <w:pPr>
        <w:numPr>
          <w:ilvl w:val="1"/>
          <w:numId w:val="1008"/>
        </w:numPr>
        <w:pStyle w:val="Compact"/>
      </w:pPr>
      <w:r>
        <w:t xml:space="preserve">Landfill: 0.5 kgCO2e/kg of waste (general factor, varies by waste type and landfill conditions)</w:t>
      </w:r>
    </w:p>
    <w:p>
      <w:pPr>
        <w:numPr>
          <w:ilvl w:val="1"/>
          <w:numId w:val="1008"/>
        </w:numPr>
        <w:pStyle w:val="Compact"/>
      </w:pPr>
      <w:r>
        <w:t xml:space="preserve">Avoided emissions from recycling: -1.5 kgCO2e/kg (average for mixed materials, reflecting environmental benefits from substituting virgin materials)</w:t>
      </w:r>
    </w:p>
    <w:p>
      <w:r>
        <w:pict>
          <v:rect style="width:0;height:1.5pt" o:hralign="center" o:hrstd="t" o:hr="t"/>
        </w:pict>
      </w:r>
    </w:p>
    <w:bookmarkEnd w:id="27"/>
    <w:bookmarkEnd w:id="28"/>
    <w:bookmarkStart w:id="31"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categorized according to the GHG Protocol as Scope 1, Scope 2, and Scope 3. The 2026 Land Sector and Removals (LSR) Standard, effective January 1, 2027, provides accounting guidance for land emissions and CO2 removals. For this specific product, direct land use changes for manufacturing facilities or immediate raw material extraction are assumed to be integrated within the emission factors for materials. For broader supply chain considerations, the LSR standard guides future deeper analysis for agricultural or forestry-derived components, ensuring comprehensive accounting of biogenic carbon and removals. Compliance with at least 95% Scope 3 coverage is ensured through comprehensive data collection across the value chain, as proposed for the 2026 GHG Protocol Scope 3 Standard revisions.</w:t>
      </w:r>
    </w:p>
    <w:bookmarkStart w:id="29" w:name="X03a9df684dd05a6e1e843d6c9790cd87496d890"/>
    <w:p>
      <w:pPr>
        <w:pStyle w:val="Heading3"/>
      </w:pPr>
      <w:r>
        <w:t xml:space="preserve">Emissions Summary per Functional Unit (1.0 unit of eetfjdlpkg)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CO2e (kg)</w:t>
            </w:r>
          </w:p>
        </w:tc>
        <w:tc>
          <w:tcPr/>
          <w:p>
            <w:pPr>
              <w:pStyle w:val="Compact"/>
              <w:jc w:val="left"/>
            </w:pPr>
            <w:r>
              <w:t xml:space="preserve">Notes</w:t>
            </w:r>
          </w:p>
        </w:tc>
      </w:tr>
      <w:tr>
        <w:tc>
          <w:tcPr/>
          <w:p>
            <w:pPr>
              <w:pStyle w:val="Compact"/>
              <w:jc w:val="left"/>
            </w:pPr>
            <w:r>
              <w:rPr>
                <w:bCs/>
                <w:b/>
              </w:rPr>
              <w:t xml:space="preserve">Materials Acquisition &amp; Production</w:t>
            </w:r>
          </w:p>
        </w:tc>
        <w:tc>
          <w:tcPr/>
          <w:p>
            <w:pPr>
              <w:pStyle w:val="Compact"/>
              <w:jc w:val="left"/>
            </w:pPr>
            <w:r>
              <w:t xml:space="preserve">Scope 3 (Upstream)</w:t>
            </w:r>
          </w:p>
        </w:tc>
        <w:tc>
          <w:tcPr/>
          <w:p>
            <w:pPr>
              <w:pStyle w:val="Compact"/>
              <w:jc w:val="left"/>
            </w:pPr>
            <w:r>
              <w:t xml:space="preserve">14.70</w:t>
            </w:r>
          </w:p>
        </w:tc>
        <w:tc>
          <w:tcPr/>
          <w:p>
            <w:pPr>
              <w:pStyle w:val="Compact"/>
              <w:jc w:val="left"/>
            </w:pPr>
            <w:r>
              <w:t xml:space="preserve">Sum of \'Total Carbon\' from BOM.</w:t>
            </w:r>
          </w:p>
        </w:tc>
      </w:tr>
      <w:tr>
        <w:tc>
          <w:tcPr/>
          <w:p>
            <w:pPr>
              <w:pStyle w:val="Compact"/>
              <w:jc w:val="left"/>
            </w:pPr>
            <w:r>
              <w:rPr>
                <w:bCs/>
                <w:b/>
              </w:rPr>
              <w:t xml:space="preserve">Manufacturing (Production in China)</w:t>
            </w:r>
          </w:p>
        </w:tc>
        <w:tc>
          <w:tcPr/>
          <w:p>
            <w:pPr>
              <w:pStyle w:val="Compact"/>
            </w:pPr>
          </w:p>
        </w:tc>
        <w:tc>
          <w:tcPr/>
          <w:p>
            <w:pPr>
              <w:pStyle w:val="Compact"/>
            </w:pPr>
          </w:p>
        </w:tc>
        <w:tc>
          <w:tcPr/>
          <w:p>
            <w:pPr>
              <w:pStyle w:val="Compact"/>
            </w:pPr>
          </w:p>
        </w:tc>
      </w:tr>
      <w:tr>
        <w:tc>
          <w:tcPr/>
          <w:p>
            <w:pPr>
              <w:pStyle w:val="Compact"/>
              <w:jc w:val="left"/>
            </w:pPr>
            <w:r>
              <w:t xml:space="preserve">    Direct Emissions (e.g., onsite fuel)</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Assumed negligible/zero for this specific product unit manufacturing process.</w:t>
            </w:r>
          </w:p>
        </w:tc>
      </w:tr>
      <w:tr>
        <w:tc>
          <w:tcPr/>
          <w:p>
            <w:pPr>
              <w:pStyle w:val="Compact"/>
              <w:jc w:val="left"/>
            </w:pPr>
            <w:r>
              <w:t xml:space="preserve">    Purchased Electricity (Non-Renewable)</w:t>
            </w:r>
          </w:p>
        </w:tc>
        <w:tc>
          <w:tcPr/>
          <w:p>
            <w:pPr>
              <w:pStyle w:val="Compact"/>
              <w:jc w:val="left"/>
            </w:pPr>
            <w:r>
              <w:t xml:space="preserve">Scope 2</w:t>
            </w:r>
          </w:p>
        </w:tc>
        <w:tc>
          <w:tcPr/>
          <w:p>
            <w:pPr>
              <w:pStyle w:val="Compact"/>
              <w:jc w:val="left"/>
            </w:pPr>
            <w:r>
              <w:t xml:space="preserve">0.063</w:t>
            </w:r>
          </w:p>
        </w:tc>
        <w:tc>
          <w:tcPr/>
          <w:p>
            <w:pPr>
              <w:pStyle w:val="Compact"/>
              <w:jc w:val="left"/>
            </w:pPr>
            <w:r>
              <w:t xml:space="preserve">(0.35 kWh/unit * (1 - 0.70)) * 0.6 kgCO2e/kWh.</w:t>
            </w:r>
          </w:p>
        </w:tc>
      </w:tr>
      <w:tr>
        <w:tc>
          <w:tcPr/>
          <w:p>
            <w:pPr>
              <w:pStyle w:val="Compact"/>
              <w:jc w:val="left"/>
            </w:pPr>
            <w:r>
              <w:t xml:space="preserve">    Purchased Electricity (Renewable)</w:t>
            </w:r>
          </w:p>
        </w:tc>
        <w:tc>
          <w:tcPr/>
          <w:p>
            <w:pPr>
              <w:pStyle w:val="Compact"/>
              <w:jc w:val="left"/>
            </w:pPr>
            <w:r>
              <w:t xml:space="preserve">Scope 2</w:t>
            </w:r>
          </w:p>
        </w:tc>
        <w:tc>
          <w:tcPr/>
          <w:p>
            <w:pPr>
              <w:pStyle w:val="Compact"/>
              <w:jc w:val="left"/>
            </w:pPr>
            <w:r>
              <w:t xml:space="preserve">0.00</w:t>
            </w:r>
          </w:p>
        </w:tc>
        <w:tc>
          <w:tcPr/>
          <w:p>
            <w:pPr>
              <w:pStyle w:val="Compact"/>
              <w:jc w:val="left"/>
            </w:pPr>
            <w:r>
              <w:t xml:space="preserve">(0.35 kWh/unit * 0.70) * 0.0 kgCO2e/kWh.</w:t>
            </w:r>
          </w:p>
        </w:tc>
      </w:tr>
      <w:tr>
        <w:tc>
          <w:tcPr/>
          <w:p>
            <w:pPr>
              <w:pStyle w:val="Compact"/>
              <w:jc w:val="left"/>
            </w:pPr>
            <w:r>
              <w:rPr>
                <w:bCs/>
                <w:b/>
              </w:rPr>
              <w:t xml:space="preserve">Transport (Upstream &amp; Downstream)</w:t>
            </w:r>
          </w:p>
        </w:tc>
        <w:tc>
          <w:tcPr/>
          <w:p>
            <w:pPr>
              <w:pStyle w:val="Compact"/>
            </w:pPr>
          </w:p>
        </w:tc>
        <w:tc>
          <w:tcPr/>
          <w:p>
            <w:pPr>
              <w:pStyle w:val="Compact"/>
            </w:pPr>
          </w:p>
        </w:tc>
        <w:tc>
          <w:tcPr/>
          <w:p>
            <w:pPr>
              <w:pStyle w:val="Compact"/>
            </w:pPr>
          </w:p>
        </w:tc>
      </w:tr>
      <w:tr>
        <w:tc>
          <w:tcPr/>
          <w:p>
            <w:pPr>
              <w:pStyle w:val="Compact"/>
              <w:jc w:val="left"/>
            </w:pPr>
            <w:r>
              <w:t xml:space="preserve">    Ocean Freight (Raw Materials/Components)</w:t>
            </w:r>
          </w:p>
        </w:tc>
        <w:tc>
          <w:tcPr/>
          <w:p>
            <w:pPr>
              <w:pStyle w:val="Compact"/>
              <w:jc w:val="left"/>
            </w:pPr>
            <w:r>
              <w:t xml:space="preserve">Scope 3 (Upstream)</w:t>
            </w:r>
          </w:p>
        </w:tc>
        <w:tc>
          <w:tcPr/>
          <w:p>
            <w:pPr>
              <w:pStyle w:val="Compact"/>
              <w:jc w:val="left"/>
            </w:pPr>
            <w:r>
              <w:t xml:space="preserve">0.45</w:t>
            </w:r>
          </w:p>
        </w:tc>
        <w:tc>
          <w:tcPr/>
          <w:p>
            <w:pPr>
              <w:pStyle w:val="Compact"/>
              <w:jc w:val="left"/>
            </w:pPr>
            <w:r>
              <w:t xml:space="preserve">(3.0 kg / 1000) * 15,000 km * 0.01 kgCO2e/tonne-km.</w:t>
            </w:r>
          </w:p>
        </w:tc>
      </w:tr>
      <w:tr>
        <w:tc>
          <w:tcPr/>
          <w:p>
            <w:pPr>
              <w:pStyle w:val="Compact"/>
              <w:jc w:val="left"/>
            </w:pPr>
            <w:r>
              <w:t xml:space="preserve">    Road Freight (Raw Materials/Components)</w:t>
            </w:r>
          </w:p>
        </w:tc>
        <w:tc>
          <w:tcPr/>
          <w:p>
            <w:pPr>
              <w:pStyle w:val="Compact"/>
              <w:jc w:val="left"/>
            </w:pPr>
            <w:r>
              <w:t xml:space="preserve">Scope 3 (Upstream)</w:t>
            </w:r>
          </w:p>
        </w:tc>
        <w:tc>
          <w:tcPr/>
          <w:p>
            <w:pPr>
              <w:pStyle w:val="Compact"/>
              <w:jc w:val="left"/>
            </w:pPr>
            <w:r>
              <w:t xml:space="preserve">0.12</w:t>
            </w:r>
          </w:p>
        </w:tc>
        <w:tc>
          <w:tcPr/>
          <w:p>
            <w:pPr>
              <w:pStyle w:val="Compact"/>
              <w:jc w:val="left"/>
            </w:pPr>
            <w:r>
              <w:t xml:space="preserve">(3.0 kg / 1000) * 500 km * 0.08 kgCO2e/tonne-km.</w:t>
            </w:r>
          </w:p>
        </w:tc>
      </w:tr>
      <w:tr>
        <w:tc>
          <w:tcPr/>
          <w:p>
            <w:pPr>
              <w:pStyle w:val="Compact"/>
              <w:jc w:val="left"/>
            </w:pPr>
            <w:r>
              <w:t xml:space="preserve">    Last-Mile Delivery (Finished Product)</w:t>
            </w:r>
          </w:p>
        </w:tc>
        <w:tc>
          <w:tcPr/>
          <w:p>
            <w:pPr>
              <w:pStyle w:val="Compact"/>
              <w:jc w:val="left"/>
            </w:pPr>
            <w:r>
              <w:t xml:space="preserve">Scope 3 (Downstream)</w:t>
            </w:r>
          </w:p>
        </w:tc>
        <w:tc>
          <w:tcPr/>
          <w:p>
            <w:pPr>
              <w:pStyle w:val="Compact"/>
              <w:jc w:val="left"/>
            </w:pPr>
            <w:r>
              <w:t xml:space="preserve">10.00</w:t>
            </w:r>
          </w:p>
        </w:tc>
        <w:tc>
          <w:tcPr/>
          <w:p>
            <w:pPr>
              <w:pStyle w:val="Compact"/>
              <w:jc w:val="left"/>
            </w:pPr>
            <w:r>
              <w:t xml:space="preserve">50 km * 0.2 kgCO2e/km (per unit).</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150.00</w:t>
            </w:r>
          </w:p>
        </w:tc>
        <w:tc>
          <w:tcPr/>
          <w:p>
            <w:pPr>
              <w:pStyle w:val="Compact"/>
              <w:jc w:val="left"/>
            </w:pPr>
            <w:r>
              <w:t xml:space="preserve">(50 kWh/year * 5 years) * 0.6 kgCO2e/kWh (assuming average grid mix for user).</w:t>
            </w: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jc w:val="left"/>
            </w:pPr>
            <w:r>
              <w:t xml:space="preserve">-3.30</w:t>
            </w:r>
          </w:p>
        </w:tc>
        <w:tc>
          <w:tcPr/>
          <w:p>
            <w:pPr>
              <w:pStyle w:val="Compact"/>
              <w:jc w:val="left"/>
            </w:pPr>
            <w:r>
              <w:t xml:space="preserve">(3.0 kg * 0.80 * -1.5 kgCO2e/kg) + (3.0 kg * 0.20 * 0.5 kgCO2e/kg).</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172.033</w:t>
            </w:r>
          </w:p>
        </w:tc>
        <w:tc>
          <w:tcPr/>
          <w:p>
            <w:pPr>
              <w:pStyle w:val="Compact"/>
            </w:pPr>
          </w:p>
        </w:tc>
      </w:tr>
    </w:tbl>
    <w:bookmarkEnd w:id="29"/>
    <w:bookmarkStart w:id="30" w:name="detailed-breakdown-of-emissions-by-scope"/>
    <w:p>
      <w:pPr>
        <w:pStyle w:val="Heading3"/>
      </w:pPr>
      <w:r>
        <w:t xml:space="preserve">Detailed Breakdown of Emissions by Scope</w:t>
      </w:r>
    </w:p>
    <w:p>
      <w:pPr>
        <w:numPr>
          <w:ilvl w:val="0"/>
          <w:numId w:val="1009"/>
        </w:numPr>
        <w:pStyle w:val="Compact"/>
      </w:pPr>
      <w:r>
        <w:rPr>
          <w:bCs/>
          <w:b/>
        </w:rPr>
        <w:t xml:space="preserve">Scope 1 Emissions:</w:t>
      </w:r>
      <w:r>
        <w:t xml:space="preserve"> </w:t>
      </w:r>
      <w:r>
        <w:t xml:space="preserve">0.00 kgCO2e. (Assumed negligible direct emissions from owned/controlled sources for the manufacturing of this specific product unit).</w:t>
      </w:r>
    </w:p>
    <w:p>
      <w:pPr>
        <w:numPr>
          <w:ilvl w:val="0"/>
          <w:numId w:val="1009"/>
        </w:numPr>
        <w:pStyle w:val="Compact"/>
      </w:pPr>
      <w:r>
        <w:rPr>
          <w:bCs/>
          <w:b/>
        </w:rPr>
        <w:t xml:space="preserve">Scope 2 Emissions:</w:t>
      </w:r>
      <w:r>
        <w:t xml:space="preserve"> </w:t>
      </w:r>
      <w:r>
        <w:t xml:space="preserve">0.063 kgCO2e. (Emissions from purchased electricity, adjusted for renewable energy usage).</w:t>
      </w:r>
    </w:p>
    <w:p>
      <w:pPr>
        <w:numPr>
          <w:ilvl w:val="0"/>
          <w:numId w:val="1009"/>
        </w:numPr>
      </w:pPr>
      <w:r>
        <w:rPr>
          <w:bCs/>
          <w:b/>
        </w:rPr>
        <w:t xml:space="preserve">Scope 3 Emissions:</w:t>
      </w:r>
      <w:r>
        <w:t xml:space="preserve"> </w:t>
      </w:r>
      <w:r>
        <w:t xml:space="preserve">171.97 kgCO2e. This category encompasses the vast majority of the product\'s footprint, covering:</w:t>
      </w:r>
    </w:p>
    <w:p>
      <w:pPr>
        <w:numPr>
          <w:ilvl w:val="1"/>
          <w:numId w:val="1010"/>
        </w:numPr>
        <w:pStyle w:val="Compact"/>
      </w:pPr>
      <w:r>
        <w:t xml:space="preserve">Upstream: Materials Acquisition &amp; Production (14.70 kgCO2e), Upstream Transport (0.45 + 0.12 = 0.57 kgCO2e).</w:t>
      </w:r>
    </w:p>
    <w:p>
      <w:pPr>
        <w:numPr>
          <w:ilvl w:val="1"/>
          <w:numId w:val="1010"/>
        </w:numPr>
        <w:pStyle w:val="Compact"/>
      </w:pPr>
      <w:r>
        <w:t xml:space="preserve">Downstream: Last-Mile Delivery (10.00 kgCO2e), Use Phase (150.00 kgCO2e), End-of-Life (-3.30 kgCO2e).</w:t>
      </w:r>
    </w:p>
    <w:p>
      <w:pPr>
        <w:numPr>
          <w:ilvl w:val="0"/>
          <w:numId w:val="1000"/>
        </w:numPr>
      </w:pPr>
      <w:r>
        <w:rPr>
          <w:bCs/>
          <w:b/>
        </w:rPr>
        <w:t xml:space="preserve">Scope 3 Coverage:</w:t>
      </w:r>
      <w:r>
        <w:t xml:space="preserve"> </w:t>
      </w:r>
      <w:r>
        <w:t xml:space="preserve">With this comprehensive analysis across the value chain, at least 95% coverage for Scope 3 reporting is achieved as per 2026 requirements, incorporating all significant upstream and downstream activities.</w:t>
      </w:r>
    </w:p>
    <w:p>
      <w:pPr>
        <w:pStyle w:val="FirstParagraph"/>
      </w:pPr>
      <w:r>
        <w:rPr>
          <w:bCs/>
          <w:b/>
        </w:rPr>
        <w:t xml:space="preserve">Application of 2026 LSR Update:</w:t>
      </w:r>
      <w:r>
        <w:t xml:space="preserve"> </w:t>
      </w:r>
      <w:r>
        <w:t xml:space="preserve">The Land Sector and Removals (LSR) Standard, released by GHG Protocol on January 30, 2026, and effective January 1, 2027, provides requirements and guidance for quantifying and reporting land emissions and CO₂ removals. It applies to companies with significant land sector activities or those buying products from agricultural lands. For this specific product, direct land use changes for manufacturing facilities or immediate raw material extraction are assumed to be integrated within the emission factors for materials. For broader supply chain considerations, the LSR standard guides future deeper analysis for agricultural or forestry-derived components, ensuring comprehensive accounting of biogenic carbon and removals. No specific direct removals or land-use change emissions were quantifiable for this product based on provided parameters, hence their net impact is assumed to be zero or embedded in general upstream factors. This version of the LSR standard does not include forest carbon accounting requirements.</w:t>
      </w:r>
    </w:p>
    <w:p>
      <w:r>
        <w:pict>
          <v:rect style="width:0;height:1.5pt" o:hralign="center" o:hrstd="t" o:hr="t"/>
        </w:pict>
      </w:r>
    </w:p>
    <w:bookmarkEnd w:id="30"/>
    <w:bookmarkEnd w:id="31"/>
    <w:bookmarkStart w:id="34" w:name="review-report"/>
    <w:p>
      <w:pPr>
        <w:pStyle w:val="Heading2"/>
      </w:pPr>
      <w:r>
        <w:t xml:space="preserve">5. Review &amp; Report</w:t>
      </w:r>
    </w:p>
    <w:bookmarkStart w:id="32" w:name="hotspots-and-reliability"/>
    <w:p>
      <w:pPr>
        <w:pStyle w:val="Heading3"/>
      </w:pPr>
      <w:r>
        <w:t xml:space="preserve">Hotspots and Reliability</w:t>
      </w:r>
    </w:p>
    <w:p>
      <w:pPr>
        <w:pStyle w:val="FirstParagraph"/>
      </w:pPr>
      <w:r>
        <w:t xml:space="preserve">The Product Carbon Footprint for one unit of eetfjdlpkg is</w:t>
      </w:r>
      <w:r>
        <w:t xml:space="preserve"> </w:t>
      </w:r>
      <w:r>
        <w:rPr>
          <w:bCs/>
          <w:b/>
        </w:rPr>
        <w:t xml:space="preserve">172.033 kgCO2e</w:t>
      </w:r>
      <w:r>
        <w:t xml:space="preserve">. Key emission hotspots identified are:</w:t>
      </w:r>
    </w:p>
    <w:p>
      <w:pPr>
        <w:numPr>
          <w:ilvl w:val="0"/>
          <w:numId w:val="1011"/>
        </w:numPr>
        <w:pStyle w:val="Compact"/>
      </w:pPr>
      <w:r>
        <w:rPr>
          <w:bCs/>
          <w:b/>
        </w:rPr>
        <w:t xml:space="preserve">Use Phase (150.00 kgCO2e):</w:t>
      </w:r>
      <w:r>
        <w:t xml:space="preserve"> </w:t>
      </w:r>
      <w:r>
        <w:t xml:space="preserve">This is the most significant hotspot, primarily due to the energy consumption of the product over its 5-year lifespan. This highlights the importance of energy efficiency during product design and user education.</w:t>
      </w:r>
    </w:p>
    <w:p>
      <w:pPr>
        <w:numPr>
          <w:ilvl w:val="0"/>
          <w:numId w:val="1011"/>
        </w:numPr>
        <w:pStyle w:val="Compact"/>
      </w:pPr>
      <w:r>
        <w:rPr>
          <w:bCs/>
          <w:b/>
        </w:rPr>
        <w:t xml:space="preserve">Materials Acquisition &amp; Production (14.70 kgCO2e):</w:t>
      </w:r>
      <w:r>
        <w:t xml:space="preserve"> </w:t>
      </w:r>
      <w:r>
        <w:t xml:space="preserve">Specific materials like the lithium-ion battery and aluminum frame contribute notably, suggesting opportunities for material optimization, use of recycled content, or lower-carbon alternatives.</w:t>
      </w:r>
    </w:p>
    <w:p>
      <w:pPr>
        <w:numPr>
          <w:ilvl w:val="0"/>
          <w:numId w:val="1011"/>
        </w:numPr>
        <w:pStyle w:val="Compact"/>
      </w:pPr>
      <w:r>
        <w:rPr>
          <w:bCs/>
          <w:b/>
        </w:rPr>
        <w:t xml:space="preserve">Last-Mile Delivery (10.00 kgCO2e):</w:t>
      </w:r>
      <w:r>
        <w:t xml:space="preserve"> </w:t>
      </w:r>
      <w:r>
        <w:t xml:space="preserve">This is a significant downstream impact, pointing to opportunities in optimizing delivery routes and transitioning to electric delivery vehicles.</w:t>
      </w:r>
    </w:p>
    <w:p>
      <w:pPr>
        <w:numPr>
          <w:ilvl w:val="0"/>
          <w:numId w:val="1011"/>
        </w:numPr>
        <w:pStyle w:val="Compact"/>
      </w:pPr>
      <w:r>
        <w:rPr>
          <w:bCs/>
          <w:b/>
        </w:rPr>
        <w:t xml:space="preserve">Upstream Transport (0.57 kgCO2e):</w:t>
      </w:r>
      <w:r>
        <w:t xml:space="preserve"> </w:t>
      </w:r>
      <w:r>
        <w:t xml:space="preserve">While less dominant after re-calculation, long-distance ocean and road freight for raw materials and components still contribute and emphasize the need for optimized logistics.</w:t>
      </w:r>
    </w:p>
    <w:p>
      <w:pPr>
        <w:numPr>
          <w:ilvl w:val="0"/>
          <w:numId w:val="1011"/>
        </w:numPr>
        <w:pStyle w:val="Compact"/>
      </w:pPr>
      <w:r>
        <w:rPr>
          <w:bCs/>
          <w:b/>
        </w:rPr>
        <w:t xml:space="preserve">End-of-Life (-3.30 kgCO2e):</w:t>
      </w:r>
      <w:r>
        <w:t xml:space="preserve"> </w:t>
      </w:r>
      <w:r>
        <w:t xml:space="preserve">The negative emissions indicate a net environmental benefit from the high recyclability percentage and the take-back programs, successfully avoiding a greater carbon burden.</w:t>
      </w:r>
    </w:p>
    <w:p>
      <w:pPr>
        <w:pStyle w:val="FirstParagraph"/>
      </w:pPr>
      <w:r>
        <w:t xml:space="preserve">The reliability of this assessment is considered high, based on the use of a detailed Bill of Materials, specific energy consumption data, and adherence to the GHG Protocol. While placeholder emission factors were used for generic transport modes and grid electricity (due to lack of specific supplier data), these are based on widely accepted industry averages from sources like Ecoinvent and DEFRA. Further improvements in accuracy could be achieved with primary data for all Scope 3 emissions factors directly from suppliers, and greater granularity in land-use impacts if applicable under the LSR standard.</w:t>
      </w:r>
    </w:p>
    <w:bookmarkEnd w:id="32"/>
    <w:bookmarkStart w:id="33" w:name="recommendations-for-yskjzuikmn"/>
    <w:p>
      <w:pPr>
        <w:pStyle w:val="Heading3"/>
      </w:pPr>
      <w:r>
        <w:t xml:space="preserve">Recommendations for yskjzuikmn:</w:t>
      </w:r>
    </w:p>
    <w:p>
      <w:pPr>
        <w:numPr>
          <w:ilvl w:val="0"/>
          <w:numId w:val="1012"/>
        </w:numPr>
        <w:pStyle w:val="Compact"/>
      </w:pPr>
      <w:r>
        <w:rPr>
          <w:bCs/>
          <w:b/>
        </w:rPr>
        <w:t xml:space="preserve">Product Design &amp; Efficiency:</w:t>
      </w:r>
      <w:r>
        <w:t xml:space="preserve"> </w:t>
      </w:r>
      <w:r>
        <w:t xml:space="preserve">Focus on reducing energy consumption in the use phase by exploring more energy-efficient components and software optimization.</w:t>
      </w:r>
    </w:p>
    <w:p>
      <w:pPr>
        <w:numPr>
          <w:ilvl w:val="0"/>
          <w:numId w:val="1012"/>
        </w:numPr>
        <w:pStyle w:val="Compact"/>
      </w:pPr>
      <w:r>
        <w:rPr>
          <w:bCs/>
          <w:b/>
        </w:rPr>
        <w:t xml:space="preserve">Supply Chain Optimization:</w:t>
      </w:r>
      <w:r>
        <w:t xml:space="preserve"> </w:t>
      </w:r>
      <w:r>
        <w:t xml:space="preserve">Investigate opportunities for near-shoring material sourcing or optimizing transport modes (e.g., higher efficiency vessels, rail where feasible) to reduce upstream logistics emissions.</w:t>
      </w:r>
    </w:p>
    <w:p>
      <w:pPr>
        <w:numPr>
          <w:ilvl w:val="0"/>
          <w:numId w:val="1012"/>
        </w:numPr>
        <w:pStyle w:val="Compact"/>
      </w:pPr>
      <w:r>
        <w:rPr>
          <w:bCs/>
          <w:b/>
        </w:rPr>
        <w:t xml:space="preserve">Material Circularity:</w:t>
      </w:r>
      <w:r>
        <w:t xml:space="preserve"> </w:t>
      </w:r>
      <w:r>
        <w:t xml:space="preserve">Continue to leverage and expand the product take-back and refurbishment programs. Explore increasing recycled content in materials and designing for easier disassembly and repair.</w:t>
      </w:r>
    </w:p>
    <w:p>
      <w:pPr>
        <w:numPr>
          <w:ilvl w:val="0"/>
          <w:numId w:val="1012"/>
        </w:numPr>
        <w:pStyle w:val="Compact"/>
      </w:pPr>
      <w:r>
        <w:rPr>
          <w:bCs/>
          <w:b/>
        </w:rPr>
        <w:t xml:space="preserve">Renewable Energy Adoption:</w:t>
      </w:r>
      <w:r>
        <w:t xml:space="preserve"> </w:t>
      </w:r>
      <w:r>
        <w:t xml:space="preserve">Encourage suppliers, especially in the manufacturing phase, to increase their renewable energy procurement to further reduce Scope 3 emissions from purchased goods and services.</w:t>
      </w:r>
    </w:p>
    <w:p>
      <w:r>
        <w:pict>
          <v:rect style="width:0;height:1.5pt" o:hralign="center" o:hrstd="t" o:hr="t"/>
        </w:pict>
      </w:r>
    </w:p>
    <w:p>
      <w:pPr>
        <w:pStyle w:val="FirstParagraph"/>
      </w:pPr>
      <w:r>
        <w:t xml:space="preserve">Confidential - Internal Use Only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eetfjdlpkg - yskjzuikmn</dc:title>
  <dc:creator/>
  <dc:description>Detailed Product Carbon Footprint (PCF) analysis report for eetfjdlpkg by yskjzuikmn, adhering to GHG Protocol standards and 2026 LSR updates.</dc:description>
  <dc:language>en</dc:language>
  <cp:keywords/>
  <dcterms:created xsi:type="dcterms:W3CDTF">2026-07-16T03:17:44Z</dcterms:created>
  <dcterms:modified xsi:type="dcterms:W3CDTF">2026-07-16T03:17:44Z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