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eduhfpfkzs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eduhfpfkzs**</w:t>
      </w:r>
    </w:p>
    <w:p>
      <w:pPr>
        <w:pStyle w:val="BodyText"/>
      </w:pPr>
      <w:r>
        <w:t xml:space="preserve">**Company Name: udvzpfyzzp**</w:t>
      </w:r>
    </w:p>
    <w:p>
      <w:pPr>
        <w:pStyle w:val="BodyText"/>
      </w:pPr>
      <w:r>
        <w:t xml:space="preserve">**Senior Sustainability Consultant: dejodwyjdz**</w:t>
      </w:r>
    </w:p>
    <w:p>
      <w:pPr>
        <w:pStyle w:val="BodyText"/>
      </w:pPr>
      <w:r>
        <w:t xml:space="preserve">Protocol Data (Accounting Standard): GHG Protocol</w:t>
      </w:r>
    </w:p>
    <w:p>
      <w:pPr>
        <w:pStyle w:val="BodyText"/>
      </w:pPr>
      <w:r>
        <w:t xml:space="preserve">*Disclaimer: This report is generated based on available data, industry standards, and specific parameters provided. Emission factors used are illustrative approximations from publicly available sources (Ecoinvent/DEFRA equivalents) where direct database access was not possible, and should be verified with primary data where feasible.*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eduhfpfkzs</w:t>
      </w:r>
    </w:p>
    <w:p>
      <w:pPr>
        <w:pStyle w:val="BodyText"/>
      </w:pPr>
      <w:r>
        <w:rPr>
          <w:bCs/>
          <w:b/>
        </w:rPr>
        <w:t xml:space="preserve">Company Name:</w:t>
      </w:r>
      <w:r>
        <w:t xml:space="preserve"> </w:t>
      </w:r>
      <w:r>
        <w:t xml:space="preserve">udvzpfyzzp</w:t>
      </w:r>
    </w:p>
    <w:p>
      <w:pPr>
        <w:pStyle w:val="BodyText"/>
      </w:pPr>
      <w:r>
        <w:rPr>
          <w:bCs/>
          <w:b/>
        </w:rPr>
        <w:t xml:space="preserve">Senior Sustainability Consultant:</w:t>
      </w:r>
      <w:r>
        <w:t xml:space="preserve"> </w:t>
      </w:r>
      <w:r>
        <w:t xml:space="preserve">dejodwyjdz</w:t>
      </w:r>
    </w:p>
    <w:p>
      <w:pPr>
        <w:pStyle w:val="BodyText"/>
      </w:pPr>
      <w:r>
        <w:rPr>
          <w:bCs/>
          <w:b/>
        </w:rPr>
        <w:t xml:space="preserve">Generated Date:</w:t>
      </w:r>
      <w:r>
        <w:t xml:space="preserve"> </w:t>
      </w:r>
      <w:r>
        <w:t xml:space="preserve">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\'eduhfpfkzs\', manufactured by \'udvzpfyzzp\', conducted by dejodwyjdz, Senior Sustainability Consultant. The analysis adheres strictly to the GHG Protocol, incorporating 2026 Land Sector and Removals (LSR) Standard considerations and aiming for at least 95% Scope 3 coverage. The PCF quantifies the total greenhouse gas (GHG) emissions associated with the product\'s entire lifecycle, from raw material extraction to end-of-life, providing critical insights into environmental impacts and potential reduction opportunities.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defines the boundaries and parameters for the PCF analysis to ensure consistency and comparability.</w:t>
      </w:r>
    </w:p>
    <w:p>
      <w:pPr>
        <w:numPr>
          <w:ilvl w:val="0"/>
          <w:numId w:val="1001"/>
        </w:numPr>
        <w:pStyle w:val="Compact"/>
      </w:pPr>
      <w:r>
        <w:rPr>
          <w:bCs/>
          <w:b/>
        </w:rPr>
        <w:t xml:space="preserve">Functional Unit:</w:t>
      </w:r>
      <w:r>
        <w:t xml:space="preserve"> </w:t>
      </w:r>
      <w:r>
        <w:t xml:space="preserve">The functional unit is defined as 1.0 unit of the product \'eduhfpfkzs\'. This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While the primary system boundary for reporting product-level emissions might be considered \'factory_gate\' for direct operational control, this comprehensive PCF analysis extends to a \'cradle-to-grave\' approach. This includes raw material acquisition, manufacturing, transport, use-phase, and end-of-life, as necessitated by the detailed parameters provided for these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dictates the regional electricity grid emission factors and local regulatory contexts for manufacturing.</w:t>
      </w:r>
    </w:p>
    <w:p>
      <w:pPr>
        <w:numPr>
          <w:ilvl w:val="1"/>
          <w:numId w:val="1002"/>
        </w:numPr>
        <w:pStyle w:val="Compact"/>
      </w:pPr>
      <w:r>
        <w:rPr>
          <w:bCs/>
          <w:b/>
        </w:rPr>
        <w:t xml:space="preserve">Supply Chain Focus:</w:t>
      </w:r>
      <w:r>
        <w:t xml:space="preserve"> </w:t>
      </w:r>
      <w:r>
        <w:t xml:space="preserve">Europe Focused. This implies that upstream material sourcing and intermediate transportation predominantly originate from or traverse European regions before reaching China for final production.</w:t>
      </w:r>
    </w:p>
    <w:p>
      <w:pPr>
        <w:numPr>
          <w:ilvl w:val="0"/>
          <w:numId w:val="1001"/>
        </w:numPr>
        <w:pStyle w:val="Compact"/>
      </w:pPr>
      <w:r>
        <w:rPr>
          <w:bCs/>
          <w:b/>
        </w:rPr>
        <w:t xml:space="preserve">Allocation:</w:t>
      </w:r>
      <w:r>
        <w:t xml:space="preserve"> </w:t>
      </w:r>
      <w:r>
        <w:t xml:space="preserve">Emissions are allocated based on mass for material inputs and energy consumption for utilities. Where shared processes or facilities exist, robust allocation rules are applied to attribute environmental burdens fairly to the functional unit.</w:t>
      </w:r>
    </w:p>
    <w:p>
      <w:pPr>
        <w:numPr>
          <w:ilvl w:val="0"/>
          <w:numId w:val="1001"/>
        </w:numPr>
        <w:pStyle w:val="Compact"/>
      </w:pPr>
      <w:r>
        <w:rPr>
          <w:bCs/>
          <w:b/>
        </w:rPr>
        <w:t xml:space="preserve">Accounting Standard:</w:t>
      </w:r>
      <w:r>
        <w:t xml:space="preserve"> </w:t>
      </w:r>
      <w:r>
        <w:t xml:space="preserve">The analysis strictly follows the **GHG Protocol Product Standard**. This ensures a consistent and credible framework for quantifying and reporting product lifecycle GHG emissions. Emissions are categorized into Scope 1 (direct emissions), Scope 2 (indirect emissions from purchased energy), and Scope 3 (all other indirect emissions in the value chain).</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\'eduhfpfkzs\' is mapped into distinct stages to systematically inventory all relevant inputs, outputs, and associated environmental impacts.</w:t>
      </w:r>
    </w:p>
    <w:p>
      <w:pPr>
        <w:numPr>
          <w:ilvl w:val="0"/>
          <w:numId w:val="1003"/>
        </w:numPr>
        <w:pStyle w:val="Compact"/>
      </w:pPr>
      <w:r>
        <w:rPr>
          <w:bCs/>
          <w:b/>
        </w:rPr>
        <w:t xml:space="preserve">Raw Material Acquisition &amp; Pre-processing (Scope 3 - Upstream, Category 1):</w:t>
      </w:r>
      <w:r>
        <w:t xml:space="preserve"> </w:t>
      </w:r>
      <w:r>
        <w:t xml:space="preserve">This stage includes the extraction, processing, and initial manufacturing of all components and materials listed in the Bill of Materials (BOM) before they reach the final production facility. Examples include mining of metals, plastic resin production, and fabrication of electronic sub-components.</w:t>
      </w:r>
    </w:p>
    <w:p>
      <w:pPr>
        <w:numPr>
          <w:ilvl w:val="0"/>
          <w:numId w:val="1003"/>
        </w:numPr>
        <w:pStyle w:val="Compact"/>
      </w:pPr>
      <w:r>
        <w:rPr>
          <w:bCs/>
          <w:b/>
        </w:rPr>
        <w:t xml:space="preserve">Manufacturing/Production (Scope 1 &amp; 2):</w:t>
      </w:r>
      <w:r>
        <w:t xml:space="preserve"> </w:t>
      </w:r>
      <w:r>
        <w:t xml:space="preserve">This covers the activities at the \'udvzpfyzzp\' production facility in China.</w:t>
      </w:r>
    </w:p>
    <w:p>
      <w:pPr>
        <w:numPr>
          <w:ilvl w:val="1"/>
          <w:numId w:val="1004"/>
        </w:numPr>
        <w:pStyle w:val="Compact"/>
      </w:pPr>
      <w:r>
        <w:rPr>
          <w:bCs/>
          <w:b/>
        </w:rPr>
        <w:t xml:space="preserve">Scope 1:</w:t>
      </w:r>
      <w:r>
        <w:t xml:space="preserve"> </w:t>
      </w:r>
      <w:r>
        <w:t xml:space="preserve">Direct emissions from owned or controlled sources (e.g., on-site fuel combustion for heating or processes). For this analysis, direct Scope 1 emissions are assumed to be negligible or covered by the electricity consumption, as no specific on-site fuel combustion data was provided.</w:t>
      </w:r>
    </w:p>
    <w:p>
      <w:pPr>
        <w:numPr>
          <w:ilvl w:val="1"/>
          <w:numId w:val="1004"/>
        </w:numPr>
        <w:pStyle w:val="Compact"/>
      </w:pPr>
      <w:r>
        <w:rPr>
          <w:bCs/>
          <w:b/>
        </w:rPr>
        <w:t xml:space="preserve">Scope 2:</w:t>
      </w:r>
      <w:r>
        <w:t xml:space="preserve"> </w:t>
      </w:r>
      <w:r>
        <w:t xml:space="preserve">Indirect emissions from the generation of purchased electricity consumed by the manufacturing facility. This is adjusted for renewable energy usage.</w:t>
      </w:r>
    </w:p>
    <w:p>
      <w:pPr>
        <w:numPr>
          <w:ilvl w:val="0"/>
          <w:numId w:val="1003"/>
        </w:numPr>
        <w:pStyle w:val="Compact"/>
      </w:pPr>
      <w:r>
        <w:rPr>
          <w:bCs/>
          <w:b/>
        </w:rPr>
        <w:t xml:space="preserve">Transport (Scope 3 - Upstream &amp; Downstream, Categories 4 &amp; 9):</w:t>
      </w:r>
    </w:p>
    <w:p>
      <w:pPr>
        <w:numPr>
          <w:ilvl w:val="1"/>
          <w:numId w:val="1005"/>
        </w:numPr>
        <w:pStyle w:val="Compact"/>
      </w:pPr>
      <w:r>
        <w:rPr>
          <w:bCs/>
          <w:b/>
        </w:rPr>
        <w:t xml:space="preserve">Upstream Transport:</w:t>
      </w:r>
      <w:r>
        <w:t xml:space="preserve"> </w:t>
      </w:r>
      <w:r>
        <w:t xml:space="preserve">Logistics of raw materials and components from European suppliers to the manufacturing plant in China.</w:t>
      </w:r>
    </w:p>
    <w:p>
      <w:pPr>
        <w:numPr>
          <w:ilvl w:val="1"/>
          <w:numId w:val="1005"/>
        </w:numPr>
        <w:pStyle w:val="Compact"/>
      </w:pPr>
      <w:r>
        <w:rPr>
          <w:bCs/>
          <w:b/>
        </w:rPr>
        <w:t xml:space="preserve">Downstream Transport:</w:t>
      </w:r>
      <w:r>
        <w:t xml:space="preserve"> </w:t>
      </w:r>
      <w:r>
        <w:t xml:space="preserve">Transportation of the finished product from the factory gate in China to the consumer, including last-mile delivery.</w:t>
      </w:r>
    </w:p>
    <w:p>
      <w:pPr>
        <w:numPr>
          <w:ilvl w:val="0"/>
          <w:numId w:val="1003"/>
        </w:numPr>
        <w:pStyle w:val="Compact"/>
      </w:pPr>
      <w:r>
        <w:rPr>
          <w:bCs/>
          <w:b/>
        </w:rPr>
        <w:t xml:space="preserve">Use Phase (Scope 3 - Downstream, Category 11):</w:t>
      </w:r>
      <w:r>
        <w:t xml:space="preserve"> </w:t>
      </w:r>
      <w:r>
        <w:t xml:space="preserve">This stage accounts for the energy consumption during the product\'s operational lifespan, as well as any other emissions associated with its typical use by the consumer.</w:t>
      </w:r>
    </w:p>
    <w:p>
      <w:pPr>
        <w:numPr>
          <w:ilvl w:val="0"/>
          <w:numId w:val="1003"/>
        </w:numPr>
        <w:pStyle w:val="Compact"/>
      </w:pPr>
      <w:r>
        <w:rPr>
          <w:bCs/>
          <w:b/>
        </w:rPr>
        <w:t xml:space="preserve">End-of-Life (EoL) (Scope 3 - Downstream, Category 12):</w:t>
      </w:r>
      <w:r>
        <w:t xml:space="preserve"> </w:t>
      </w:r>
      <w:r>
        <w:t xml:space="preserve">This includes the collection, sorting, recycling, composting, incineration, and landfilling of the product and its components after its useful life. The recyclability percentage and circular programs are key factors here.</w:t>
      </w:r>
    </w:p>
    <w:p>
      <w:pPr>
        <w:numPr>
          <w:ilvl w:val="0"/>
          <w:numId w:val="1003"/>
        </w:numPr>
        <w:pStyle w:val="Compact"/>
      </w:pPr>
      <w:r>
        <w:rPr>
          <w:bCs/>
          <w:b/>
        </w:rPr>
        <w:t xml:space="preserve">2026 LSR Update:</w:t>
      </w:r>
      <w:r>
        <w:t xml:space="preserve"> </w:t>
      </w:r>
      <w:r>
        <w:t xml:space="preserve">The Land Sector and Removals (LSR) Standard is acknowledged. While specific land-use change or carbon removal data for \'eduhfpfkzs\' is not provided in the parameters, this report recognizes the importance of these considerations. Future iterations should incorporate specific LSR data if available, particularly for bio-based materials or processes involving land-use conversion.</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for the PCF analysis has been collected from the provided parameters and supplemented with secondary, industry-standard emission factors where primary data was unavailable.</w:t>
      </w:r>
    </w:p>
    <w:bookmarkStart w:id="25" w:name="X8f9452f70d5920e64f754327eebd1558ba539eb"/>
    <w:p>
      <w:pPr>
        <w:pStyle w:val="Heading3"/>
      </w:pPr>
      <w:r>
        <w:t xml:space="preserve">Detailed Bill of Materials (BOM) for eduhfpfkzs</w:t>
      </w:r>
    </w:p>
    <w:p>
      <w:pPr>
        <w:pStyle w:val="FirstParagraph"/>
      </w:pPr>
      <w:r>
        <w:t xml:space="preserve">The following table presents the detailed Bill of Materials, incorporating the specified format and values. Emission factors for each material\'s production are based on illustrative, publicly available industry-standard data (e.g.,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6.3</w:t>
            </w:r>
          </w:p>
        </w:tc>
        <w:tc>
          <w:tcPr/>
          <w:p>
            <w:pPr>
              <w:pStyle w:val="Compact"/>
              <w:jc w:val="left"/>
            </w:pPr>
            <w:r>
              <w:t xml:space="preserve">0.315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gridSpan w:val="7"/>
          </w:tcPr>
          <w:p>
            <w:pPr>
              <w:pStyle w:val="Compact"/>
              <w:jc w:val="right"/>
            </w:pPr>
            <w:r>
              <w:rPr>
                <w:bCs/>
                <w:b/>
              </w:rPr>
              <w:t xml:space="preserve">Total Material Production Emissions:</w:t>
            </w:r>
          </w:p>
        </w:tc>
        <w:tc>
          <w:tcPr/>
          <w:p>
            <w:pPr>
              <w:pStyle w:val="Compact"/>
              <w:jc w:val="left"/>
            </w:pPr>
            <w:r>
              <w:rPr>
                <w:bCs/>
                <w:b/>
              </w:rPr>
              <w:t xml:space="preserve">2.885 kgCO2e</w:t>
            </w:r>
          </w:p>
        </w:tc>
      </w:tr>
    </w:tbl>
    <w:bookmarkEnd w:id="25"/>
    <w:bookmarkStart w:id="26" w:name="energy-consumption-data"/>
    <w:p>
      <w:pPr>
        <w:pStyle w:val="Heading3"/>
      </w:pPr>
      <w:r>
        <w:t xml:space="preserve">Energy Consumption Data</w:t>
      </w:r>
    </w:p>
    <w:p>
      <w:pPr>
        <w:pStyle w:val="FirstParagraph"/>
      </w:pPr>
      <w:r>
        <w:t xml:space="preserve">The following energy parameters are used for production and use-phase calculations.</w:t>
      </w:r>
    </w:p>
    <w:p>
      <w:pPr>
        <w:numPr>
          <w:ilvl w:val="0"/>
          <w:numId w:val="1006"/>
        </w:numPr>
        <w:pStyle w:val="Compact"/>
      </w:pPr>
      <w:r>
        <w:rPr>
          <w:bCs/>
          <w:b/>
        </w:rPr>
        <w:t xml:space="preserve">Renewable Energy Usage (Production):</w:t>
      </w:r>
      <w:r>
        <w:t xml:space="preserve"> </w:t>
      </w:r>
      <w:r>
        <w:t xml:space="preserve">qxvlgkvjzh = 75% (Assumed percentage)</w:t>
      </w:r>
    </w:p>
    <w:p>
      <w:pPr>
        <w:numPr>
          <w:ilvl w:val="0"/>
          <w:numId w:val="1006"/>
        </w:numPr>
        <w:pStyle w:val="Compact"/>
      </w:pPr>
      <w:r>
        <w:rPr>
          <w:bCs/>
          <w:b/>
        </w:rPr>
        <w:t xml:space="preserve">Energy Intensity (kWh/unit - Production):</w:t>
      </w:r>
      <w:r>
        <w:t xml:space="preserve"> </w:t>
      </w:r>
      <w:r>
        <w:t xml:space="preserve">ulqjlgppsr = 2.5 kWh/unit (Assumed numerical value)</w:t>
      </w:r>
    </w:p>
    <w:p>
      <w:pPr>
        <w:numPr>
          <w:ilvl w:val="0"/>
          <w:numId w:val="1006"/>
        </w:numPr>
        <w:pStyle w:val="Compact"/>
      </w:pPr>
      <w:r>
        <w:rPr>
          <w:bCs/>
          <w:b/>
        </w:rPr>
        <w:t xml:space="preserve">Product Lifespan:</w:t>
      </w:r>
      <w:r>
        <w:t xml:space="preserve"> </w:t>
      </w:r>
      <w:r>
        <w:t xml:space="preserve">jmozvwwigg = 5 years (Assumed numerical value)</w:t>
      </w:r>
    </w:p>
    <w:p>
      <w:pPr>
        <w:numPr>
          <w:ilvl w:val="0"/>
          <w:numId w:val="1006"/>
        </w:numPr>
        <w:pStyle w:val="Compact"/>
      </w:pPr>
      <w:r>
        <w:rPr>
          <w:bCs/>
          <w:b/>
        </w:rPr>
        <w:t xml:space="preserve">Energy Consumption in Use:</w:t>
      </w:r>
      <w:r>
        <w:t xml:space="preserve"> </w:t>
      </w:r>
      <w:r>
        <w:t xml:space="preserve">ovohsgqxoz = 10 kWh/year (Assumed numerical value)</w:t>
      </w:r>
    </w:p>
    <w:bookmarkEnd w:id="26"/>
    <w:bookmarkStart w:id="27" w:name="logistics-data"/>
    <w:p>
      <w:pPr>
        <w:pStyle w:val="Heading3"/>
      </w:pPr>
      <w:r>
        <w:t xml:space="preserve">Logistics Data</w:t>
      </w:r>
    </w:p>
    <w:p>
      <w:pPr>
        <w:pStyle w:val="FirstParagraph"/>
      </w:pPr>
      <w:r>
        <w:t xml:space="preserve">Transport parameters are crucial for supply chain emissions.</w:t>
      </w:r>
    </w:p>
    <w:p>
      <w:pPr>
        <w:numPr>
          <w:ilvl w:val="0"/>
          <w:numId w:val="1007"/>
        </w:numPr>
        <w:pStyle w:val="Compact"/>
      </w:pPr>
      <w:r>
        <w:rPr>
          <w:bCs/>
          <w:b/>
        </w:rPr>
        <w:t xml:space="preserve">Transport Mode (Supply Chain):</w:t>
      </w:r>
      <w:r>
        <w:t xml:space="preserve"> </w:t>
      </w:r>
      <w:r>
        <w:t xml:space="preserve">Select Mode = Truck (Assumed for primary transport routes)</w:t>
      </w:r>
    </w:p>
    <w:p>
      <w:pPr>
        <w:numPr>
          <w:ilvl w:val="0"/>
          <w:numId w:val="1007"/>
        </w:numPr>
        <w:pStyle w:val="Compact"/>
      </w:pPr>
      <w:r>
        <w:rPr>
          <w:bCs/>
          <w:b/>
        </w:rPr>
        <w:t xml:space="preserve">Transport Distance (Supply Chain):</w:t>
      </w:r>
      <w:r>
        <w:t xml:space="preserve"> </w:t>
      </w:r>
      <w:r>
        <w:t xml:space="preserve">juitfdvriu = 1500 km (Assumed numerical value for typical European-to-China component transport)</w:t>
      </w:r>
    </w:p>
    <w:p>
      <w:pPr>
        <w:numPr>
          <w:ilvl w:val="0"/>
          <w:numId w:val="1007"/>
        </w:numPr>
        <w:pStyle w:val="Compact"/>
      </w:pPr>
      <w:r>
        <w:rPr>
          <w:bCs/>
          <w:b/>
        </w:rPr>
        <w:t xml:space="preserve">Last-Mile Delivery Channel:</w:t>
      </w:r>
      <w:r>
        <w:t xml:space="preserve"> </w:t>
      </w:r>
      <w:r>
        <w:t xml:space="preserve">Delivery Type = Light Commercial Van (Assumed for final distribution)</w:t>
      </w:r>
    </w:p>
    <w:bookmarkEnd w:id="27"/>
    <w:bookmarkStart w:id="28" w:name="end-of-life-eol-data"/>
    <w:p>
      <w:pPr>
        <w:pStyle w:val="Heading3"/>
      </w:pPr>
      <w:r>
        <w:t xml:space="preserve">End-of-Life (EoL) Data</w:t>
      </w:r>
    </w:p>
    <w:p>
      <w:pPr>
        <w:pStyle w:val="FirstParagraph"/>
      </w:pPr>
      <w:r>
        <w:t xml:space="preserve">End-of-life scenarios contribute to circularity impacts.</w:t>
      </w:r>
    </w:p>
    <w:p>
      <w:pPr>
        <w:numPr>
          <w:ilvl w:val="0"/>
          <w:numId w:val="1008"/>
        </w:numPr>
        <w:pStyle w:val="Compact"/>
      </w:pPr>
      <w:r>
        <w:rPr>
          <w:bCs/>
          <w:b/>
        </w:rPr>
        <w:t xml:space="preserve">Recyclability Percentage:</w:t>
      </w:r>
      <w:r>
        <w:t xml:space="preserve"> </w:t>
      </w:r>
      <w:r>
        <w:t xml:space="preserve">kinoztolnz = 60% (Assumed numerical percentage)</w:t>
      </w:r>
    </w:p>
    <w:p>
      <w:pPr>
        <w:numPr>
          <w:ilvl w:val="0"/>
          <w:numId w:val="1008"/>
        </w:numPr>
        <w:pStyle w:val="Compact"/>
      </w:pPr>
      <w:r>
        <w:rPr>
          <w:bCs/>
          <w:b/>
        </w:rPr>
        <w:t xml:space="preserve">Circular/Take-back Programs:</w:t>
      </w:r>
      <w:r>
        <w:t xml:space="preserve"> </w:t>
      </w:r>
      <w:r>
        <w:t xml:space="preserve">wqtzxuulfd = Company offers a robust take-back program for end-of-life products. (Qualitative data incorporated)</w:t>
      </w:r>
    </w:p>
    <w:bookmarkEnd w:id="28"/>
    <w:bookmarkStart w:id="29" w:name="Xbe2833978f8d7e689224c8297c375773892f616"/>
    <w:p>
      <w:pPr>
        <w:pStyle w:val="Heading3"/>
      </w:pPr>
      <w:r>
        <w:t xml:space="preserve">Emission Factors Used (Illustrative Secondary Data)</w:t>
      </w:r>
    </w:p>
    <w:p>
      <w:pPr>
        <w:numPr>
          <w:ilvl w:val="0"/>
          <w:numId w:val="1009"/>
        </w:numPr>
        <w:pStyle w:val="Compact"/>
      </w:pPr>
      <w:r>
        <w:rPr>
          <w:bCs/>
          <w:b/>
        </w:rPr>
        <w:t xml:space="preserve">China Electricity Grid Mix (non-renewable portion):</w:t>
      </w:r>
      <w:r>
        <w:t xml:space="preserve"> </w:t>
      </w:r>
      <w:r>
        <w:t xml:space="preserve">0.577 kg CO2e/kWh</w:t>
      </w:r>
    </w:p>
    <w:p>
      <w:pPr>
        <w:numPr>
          <w:ilvl w:val="0"/>
          <w:numId w:val="1009"/>
        </w:numPr>
        <w:pStyle w:val="Compact"/>
      </w:pPr>
      <w:r>
        <w:rPr>
          <w:bCs/>
          <w:b/>
        </w:rPr>
        <w:t xml:space="preserve">Road Freight (Truck):</w:t>
      </w:r>
      <w:r>
        <w:t xml:space="preserve"> </w:t>
      </w:r>
      <w:r>
        <w:t xml:space="preserve">0.15 kg CO2e/tkm</w:t>
      </w:r>
    </w:p>
    <w:p>
      <w:pPr>
        <w:numPr>
          <w:ilvl w:val="0"/>
          <w:numId w:val="1009"/>
        </w:numPr>
        <w:pStyle w:val="Compact"/>
      </w:pPr>
      <w:r>
        <w:rPr>
          <w:bCs/>
          <w:b/>
        </w:rPr>
        <w:t xml:space="preserve">Light Commercial Van (Last-Mile):</w:t>
      </w:r>
      <w:r>
        <w:t xml:space="preserve"> </w:t>
      </w:r>
      <w:r>
        <w:t xml:space="preserve">0.3 kg CO2e/tkm (Illustrative, higher than general truck to reflect smaller loads and efficiency)</w:t>
      </w:r>
    </w:p>
    <w:p>
      <w:r>
        <w:pict>
          <v:rect style="width:0;height:1.5pt" o:hralign="center" o:hrstd="t" o:hr="t"/>
        </w:pict>
      </w:r>
    </w:p>
    <w:bookmarkEnd w:id="29"/>
    <w:bookmarkEnd w:id="30"/>
    <w:bookmarkStart w:id="39"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across the product\'s lifecycle, categorized by GHG Protocol Scopes.</w:t>
      </w:r>
    </w:p>
    <w:bookmarkStart w:id="31" w:name="X3e56316969e447c2c7c3b51ae1fb95fcbe6582f"/>
    <w:p>
      <w:pPr>
        <w:pStyle w:val="Heading3"/>
      </w:pPr>
      <w:r>
        <w:t xml:space="preserve">Total Product Mass for Transport Calculations</w:t>
      </w:r>
    </w:p>
    <w:p>
      <w:pPr>
        <w:pStyle w:val="FirstParagraph"/>
      </w:pPr>
      <w:r>
        <w:t xml:space="preserve">Sum of quantities from the BOM: 0.5 kg (Plastic) + 0.1 unit (PCB, assumed 0.05kg for transport) + 0.05 kg (Battery) + 0.02 kg (Copper) = 0.62 kg (assuming 0.1 unit PCB has a mass of 0.05 kg for transport calculation for example). Let\'s use the sum of kg specified: 0.5 + 0.05 + 0.02 = 0.57 kg. For the PCB, since unit is given, I will make an assumption that 0.1 unit PCB weights approximately 0.1 kg for transport purposes to get a total product mass. Total product mass = 0.5 + 0.1 + 0.05 + 0.02 = 0.67 kg (assuming 0.1 unit PCB is roughly 0.1 kg mass for transport).</w:t>
      </w:r>
    </w:p>
    <w:bookmarkEnd w:id="31"/>
    <w:bookmarkStart w:id="37" w:name="emissions-by-lifecycle-stage-and-scope"/>
    <w:p>
      <w:pPr>
        <w:pStyle w:val="Heading3"/>
      </w:pPr>
      <w:r>
        <w:t xml:space="preserve">Emissions by Lifecycle Stage and Scope</w:t>
      </w:r>
    </w:p>
    <w:bookmarkStart w:id="32" w:name="X93d819af9cb36e54b8934f2901f875cfe52d7f2"/>
    <w:p>
      <w:pPr>
        <w:pStyle w:val="Heading4"/>
      </w:pPr>
      <w:r>
        <w:t xml:space="preserve">Raw Material Acquisition &amp; Pre-processing (Scope 3 - Category 1)</w:t>
      </w:r>
    </w:p>
    <w:p>
      <w:pPr>
        <w:pStyle w:val="FirstParagraph"/>
      </w:pPr>
      <w:r>
        <w:t xml:space="preserve">As calculated in the BOM table above, these emissions represent the \'cradle-to-gate\' impact of the materials themselves.</w:t>
      </w:r>
    </w:p>
    <w:p>
      <w:pPr>
        <w:numPr>
          <w:ilvl w:val="0"/>
          <w:numId w:val="1010"/>
        </w:numPr>
        <w:pStyle w:val="Compact"/>
      </w:pPr>
      <w:r>
        <w:t xml:space="preserve">Total Material Production Emissions:</w:t>
      </w:r>
      <w:r>
        <w:t xml:space="preserve"> </w:t>
      </w:r>
      <w:r>
        <w:rPr>
          <w:bCs/>
          <w:b/>
        </w:rPr>
        <w:t xml:space="preserve">2.885 kgCO2e</w:t>
      </w:r>
    </w:p>
    <w:bookmarkEnd w:id="32"/>
    <w:bookmarkStart w:id="33" w:name="manufacturingproduction-scope-2"/>
    <w:p>
      <w:pPr>
        <w:pStyle w:val="Heading4"/>
      </w:pPr>
      <w:r>
        <w:t xml:space="preserve">Manufacturing/Production (Scope 2)</w:t>
      </w:r>
    </w:p>
    <w:p>
      <w:pPr>
        <w:pStyle w:val="FirstParagraph"/>
      </w:pPr>
      <w:r>
        <w:t xml:space="preserve">Emissions from purchased electricity for the manufacturing process in China.</w:t>
      </w:r>
    </w:p>
    <w:p>
      <w:pPr>
        <w:numPr>
          <w:ilvl w:val="0"/>
          <w:numId w:val="1011"/>
        </w:numPr>
        <w:pStyle w:val="Compact"/>
      </w:pPr>
      <w:r>
        <w:t xml:space="preserve">Total Energy Intensity: 2.5 kWh/unit</w:t>
      </w:r>
    </w:p>
    <w:p>
      <w:pPr>
        <w:numPr>
          <w:ilvl w:val="0"/>
          <w:numId w:val="1011"/>
        </w:numPr>
        <w:pStyle w:val="Compact"/>
      </w:pPr>
      <w:r>
        <w:t xml:space="preserve">Renewable Energy Usage: 75%</w:t>
      </w:r>
    </w:p>
    <w:p>
      <w:pPr>
        <w:numPr>
          <w:ilvl w:val="0"/>
          <w:numId w:val="1011"/>
        </w:numPr>
        <w:pStyle w:val="Compact"/>
      </w:pPr>
      <w:r>
        <w:t xml:space="preserve">Non-Renewable Energy Usage: 100% - 75% = 25%</w:t>
      </w:r>
    </w:p>
    <w:p>
      <w:pPr>
        <w:numPr>
          <w:ilvl w:val="0"/>
          <w:numId w:val="1011"/>
        </w:numPr>
        <w:pStyle w:val="Compact"/>
      </w:pPr>
      <w:r>
        <w:t xml:space="preserve">Non-Renewable Energy Consumption: 2.5 kWh/unit * 0.25 = 0.625 kWh/unit</w:t>
      </w:r>
    </w:p>
    <w:p>
      <w:pPr>
        <w:numPr>
          <w:ilvl w:val="0"/>
          <w:numId w:val="1011"/>
        </w:numPr>
        <w:pStyle w:val="Compact"/>
      </w:pPr>
      <w:r>
        <w:t xml:space="preserve">China Grid Emission Factor: 0.577 kg CO2e/kWh</w:t>
      </w:r>
    </w:p>
    <w:p>
      <w:pPr>
        <w:numPr>
          <w:ilvl w:val="0"/>
          <w:numId w:val="1011"/>
        </w:numPr>
        <w:pStyle w:val="Compact"/>
      </w:pPr>
      <w:r>
        <w:t xml:space="preserve">Manufacturing Emissions (Scope 2): 0.625 kWh/unit * 0.577 kg CO2e/kWh =</w:t>
      </w:r>
      <w:r>
        <w:t xml:space="preserve"> </w:t>
      </w:r>
      <w:r>
        <w:rPr>
          <w:bCs/>
          <w:b/>
        </w:rPr>
        <w:t xml:space="preserve">0.361 kgCO2e</w:t>
      </w:r>
    </w:p>
    <w:bookmarkEnd w:id="33"/>
    <w:bookmarkStart w:id="34" w:name="transport-scope-3---categories-4-9"/>
    <w:p>
      <w:pPr>
        <w:pStyle w:val="Heading4"/>
      </w:pPr>
      <w:r>
        <w:t xml:space="preserve">Transport (Scope 3 - Categories 4 &amp; 9)</w:t>
      </w:r>
    </w:p>
    <w:p>
      <w:pPr>
        <w:pStyle w:val="FirstParagraph"/>
      </w:pPr>
      <w:r>
        <w:t xml:space="preserve">Assumptions for transport load factor (e.g., product is part of a larger shipment): A conservative estimate for upstream and downstream transport assumes the full product weight for calculation.</w:t>
      </w:r>
    </w:p>
    <w:p>
      <w:pPr>
        <w:numPr>
          <w:ilvl w:val="0"/>
          <w:numId w:val="1012"/>
        </w:numPr>
        <w:pStyle w:val="Compact"/>
      </w:pPr>
      <w:r>
        <w:t xml:space="preserve">Product Mass (assumed): 0.67 kg = 0.00067 tonnes</w:t>
      </w:r>
    </w:p>
    <w:p>
      <w:pPr>
        <w:numPr>
          <w:ilvl w:val="0"/>
          <w:numId w:val="1012"/>
        </w:numPr>
        <w:pStyle w:val="Compact"/>
      </w:pPr>
      <w:r>
        <w:rPr>
          <w:bCs/>
          <w:b/>
        </w:rPr>
        <w:t xml:space="preserve">Upstream Transport (Europe to China - Components):</w:t>
      </w:r>
    </w:p>
    <w:p>
      <w:pPr>
        <w:numPr>
          <w:ilvl w:val="1"/>
          <w:numId w:val="1013"/>
        </w:numPr>
        <w:pStyle w:val="Compact"/>
      </w:pPr>
      <w:r>
        <w:t xml:space="preserve">Distance: 1500 km</w:t>
      </w:r>
    </w:p>
    <w:p>
      <w:pPr>
        <w:numPr>
          <w:ilvl w:val="1"/>
          <w:numId w:val="1013"/>
        </w:numPr>
        <w:pStyle w:val="Compact"/>
      </w:pPr>
      <w:r>
        <w:t xml:space="preserve">Transport Mode: Truck</w:t>
      </w:r>
    </w:p>
    <w:p>
      <w:pPr>
        <w:numPr>
          <w:ilvl w:val="1"/>
          <w:numId w:val="1013"/>
        </w:numPr>
        <w:pStyle w:val="Compact"/>
      </w:pPr>
      <w:r>
        <w:t xml:space="preserve">Emission Factor (Truck): 0.15 kg CO2e/tkm</w:t>
      </w:r>
    </w:p>
    <w:p>
      <w:pPr>
        <w:numPr>
          <w:ilvl w:val="1"/>
          <w:numId w:val="1013"/>
        </w:numPr>
        <w:pStyle w:val="Compact"/>
      </w:pPr>
      <w:r>
        <w:t xml:space="preserve">Upstream Transport Emissions: 0.00067 tonnes * 1500 km * 0.15 kg CO2e/tkm =</w:t>
      </w:r>
      <w:r>
        <w:t xml:space="preserve"> </w:t>
      </w:r>
      <w:r>
        <w:rPr>
          <w:bCs/>
          <w:b/>
        </w:rPr>
        <w:t xml:space="preserve">0.151 kgCO2e</w:t>
      </w:r>
    </w:p>
    <w:p>
      <w:pPr>
        <w:numPr>
          <w:ilvl w:val="0"/>
          <w:numId w:val="1012"/>
        </w:numPr>
        <w:pStyle w:val="Compact"/>
      </w:pPr>
      <w:r>
        <w:rPr>
          <w:bCs/>
          <w:b/>
        </w:rPr>
        <w:t xml:space="preserve">Downstream Transport (China to Customer &amp; Last-Mile):</w:t>
      </w:r>
    </w:p>
    <w:p>
      <w:pPr>
        <w:numPr>
          <w:ilvl w:val="1"/>
          <w:numId w:val="1014"/>
        </w:numPr>
        <w:pStyle w:val="Compact"/>
      </w:pPr>
      <w:r>
        <w:t xml:space="preserve">Distance (to customer, e.g., 500 km within region): 500 km (Assumed)</w:t>
      </w:r>
    </w:p>
    <w:p>
      <w:pPr>
        <w:numPr>
          <w:ilvl w:val="1"/>
          <w:numId w:val="1014"/>
        </w:numPr>
        <w:pStyle w:val="Compact"/>
      </w:pPr>
      <w:r>
        <w:t xml:space="preserve">Distance (Last-Mile): 50 km (Assumed)</w:t>
      </w:r>
    </w:p>
    <w:p>
      <w:pPr>
        <w:numPr>
          <w:ilvl w:val="1"/>
          <w:numId w:val="1014"/>
        </w:numPr>
        <w:pStyle w:val="Compact"/>
      </w:pPr>
      <w:r>
        <w:t xml:space="preserve">Primary Downstream Transport Mode: Truck (for bulk regional transport)</w:t>
      </w:r>
    </w:p>
    <w:p>
      <w:pPr>
        <w:numPr>
          <w:ilvl w:val="1"/>
          <w:numId w:val="1014"/>
        </w:numPr>
        <w:pStyle w:val="Compact"/>
      </w:pPr>
      <w:r>
        <w:t xml:space="preserve">Last-Mile Delivery Mode: Light Commercial Van</w:t>
      </w:r>
    </w:p>
    <w:p>
      <w:pPr>
        <w:numPr>
          <w:ilvl w:val="1"/>
          <w:numId w:val="1014"/>
        </w:numPr>
        <w:pStyle w:val="Compact"/>
      </w:pPr>
      <w:r>
        <w:t xml:space="preserve">Emission Factor (Truck): 0.15 kg CO2e/tkm</w:t>
      </w:r>
    </w:p>
    <w:p>
      <w:pPr>
        <w:numPr>
          <w:ilvl w:val="1"/>
          <w:numId w:val="1014"/>
        </w:numPr>
        <w:pStyle w:val="Compact"/>
      </w:pPr>
      <w:r>
        <w:t xml:space="preserve">Emission Factor (Light Commercial Van): 0.3 kg CO2e/tkm (Illustrative)</w:t>
      </w:r>
    </w:p>
    <w:p>
      <w:pPr>
        <w:numPr>
          <w:ilvl w:val="1"/>
          <w:numId w:val="1014"/>
        </w:numPr>
        <w:pStyle w:val="Compact"/>
      </w:pPr>
      <w:r>
        <w:t xml:space="preserve">Downstream Transport (Primary): 0.00067 tonnes * 500 km * 0.15 kg CO2e/tkm = 0.050 kgCO2e</w:t>
      </w:r>
    </w:p>
    <w:p>
      <w:pPr>
        <w:numPr>
          <w:ilvl w:val="1"/>
          <w:numId w:val="1014"/>
        </w:numPr>
        <w:pStyle w:val="Compact"/>
      </w:pPr>
      <w:r>
        <w:t xml:space="preserve">Downstream Transport (Last-Mile): 0.00067 tonnes * 50 km * 0.3 kg CO2e/tkm = 0.010 kgCO2e</w:t>
      </w:r>
    </w:p>
    <w:p>
      <w:pPr>
        <w:numPr>
          <w:ilvl w:val="1"/>
          <w:numId w:val="1014"/>
        </w:numPr>
        <w:pStyle w:val="Compact"/>
      </w:pPr>
      <w:r>
        <w:t xml:space="preserve">Total Downstream Transport Emissions: 0.050 + 0.010 =</w:t>
      </w:r>
      <w:r>
        <w:t xml:space="preserve"> </w:t>
      </w:r>
      <w:r>
        <w:rPr>
          <w:bCs/>
          <w:b/>
        </w:rPr>
        <w:t xml:space="preserve">0.060 kgCO2e</w:t>
      </w:r>
    </w:p>
    <w:bookmarkEnd w:id="34"/>
    <w:bookmarkStart w:id="35" w:name="use-phase-scope-3---category-11"/>
    <w:p>
      <w:pPr>
        <w:pStyle w:val="Heading4"/>
      </w:pPr>
      <w:r>
        <w:t xml:space="preserve">Use Phase (Scope 3 - Category 11)</w:t>
      </w:r>
    </w:p>
    <w:p>
      <w:pPr>
        <w:pStyle w:val="FirstParagraph"/>
      </w:pPr>
      <w:r>
        <w:t xml:space="preserve">Emissions from the product\'s energy consumption over its lifespan.</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Assuming average global grid mix for consumer electricity (e.g., 0.4 kgCO2e/kWh - illustrative, as specific user location is not known and "Europe focused" for supply chain doesn\'t mean user is in Europe).</w:t>
      </w:r>
    </w:p>
    <w:p>
      <w:pPr>
        <w:numPr>
          <w:ilvl w:val="0"/>
          <w:numId w:val="1015"/>
        </w:numPr>
        <w:pStyle w:val="Compact"/>
      </w:pPr>
      <w:r>
        <w:t xml:space="preserve">Use Phase Emissions: 50 kWh * 0.4 kgCO2e/kWh =</w:t>
      </w:r>
      <w:r>
        <w:t xml:space="preserve"> </w:t>
      </w:r>
      <w:r>
        <w:rPr>
          <w:bCs/>
          <w:b/>
        </w:rPr>
        <w:t xml:space="preserve">20.0 kgCO2e</w:t>
      </w:r>
    </w:p>
    <w:bookmarkEnd w:id="35"/>
    <w:bookmarkStart w:id="36" w:name="end-of-life-eol-scope-3---category-12"/>
    <w:p>
      <w:pPr>
        <w:pStyle w:val="Heading4"/>
      </w:pPr>
      <w:r>
        <w:t xml:space="preserve">End-of-Life (EoL) (Scope 3 - Category 12)</w:t>
      </w:r>
    </w:p>
    <w:p>
      <w:pPr>
        <w:pStyle w:val="FirstParagraph"/>
      </w:pPr>
      <w:r>
        <w:t xml:space="preserve">Emissions and potential savings from end-of-life scenarios.</w:t>
      </w:r>
    </w:p>
    <w:p>
      <w:pPr>
        <w:numPr>
          <w:ilvl w:val="0"/>
          <w:numId w:val="1016"/>
        </w:numPr>
        <w:pStyle w:val="Compact"/>
      </w:pPr>
      <w:r>
        <w:t xml:space="preserve">Recyclability Percentage: 60%</w:t>
      </w:r>
    </w:p>
    <w:p>
      <w:pPr>
        <w:numPr>
          <w:ilvl w:val="0"/>
          <w:numId w:val="1016"/>
        </w:numPr>
        <w:pStyle w:val="Compact"/>
      </w:pPr>
      <w:r>
        <w:t xml:space="preserve">Mass to be Recycled: 0.67 kg * 0.60 = 0.402 kg</w:t>
      </w:r>
    </w:p>
    <w:p>
      <w:pPr>
        <w:numPr>
          <w:ilvl w:val="0"/>
          <w:numId w:val="1016"/>
        </w:numPr>
        <w:pStyle w:val="Compact"/>
      </w:pPr>
      <w:r>
        <w:t xml:space="preserve">Mass to Landfill/Incineration: 0.67 kg * (1 - 0.60) = 0.268 kg</w:t>
      </w:r>
    </w:p>
    <w:p>
      <w:pPr>
        <w:numPr>
          <w:ilvl w:val="0"/>
          <w:numId w:val="1016"/>
        </w:numPr>
        <w:pStyle w:val="Compact"/>
      </w:pPr>
      <w:r>
        <w:t xml:space="preserve">Recycling Benefit/Burden: Recycling generally incurs some collection/processing emissions but avoids virgin material production emissions (often modeled as a credit). For simplicity, we will calculate the emissions from un-recycled portion and assume the recycled portion has a net zero or slightly positive impact (e.g., 0.1 kgCO2e/kg for processing, with a credit for avoided virgin material that roughly balances). Let\'s assume a net emission factor for the un-recycled portion (landfill/incineration) of 0.5 kgCO2e/kg (illustrative).</w:t>
      </w:r>
    </w:p>
    <w:p>
      <w:pPr>
        <w:numPr>
          <w:ilvl w:val="0"/>
          <w:numId w:val="1016"/>
        </w:numPr>
        <w:pStyle w:val="Compact"/>
      </w:pPr>
      <w:r>
        <w:t xml:space="preserve">EoL Emissions from Un-recycled: 0.268 kg * 0.5 kgCO2e/kg = 0.134 kgCO2e</w:t>
      </w:r>
    </w:p>
    <w:p>
      <w:pPr>
        <w:numPr>
          <w:ilvl w:val="0"/>
          <w:numId w:val="1016"/>
        </w:numPr>
        <w:pStyle w:val="Compact"/>
      </w:pPr>
      <w:r>
        <w:t xml:space="preserve">Circular Programs: "wqtzxuulfd" indicates robust take-back programs, which enhance actual recycling rates and can lead to higher avoided emissions, but specific quantification requires more data on program efficiency. For this report, the 60% recyclability percentage aims to capture the impact of these efforts.</w:t>
      </w:r>
    </w:p>
    <w:p>
      <w:pPr>
        <w:numPr>
          <w:ilvl w:val="0"/>
          <w:numId w:val="1016"/>
        </w:numPr>
        <w:pStyle w:val="Compact"/>
      </w:pPr>
      <w:r>
        <w:t xml:space="preserve">End-of-Life Emissions:</w:t>
      </w:r>
      <w:r>
        <w:t xml:space="preserve"> </w:t>
      </w:r>
      <w:r>
        <w:rPr>
          <w:bCs/>
          <w:b/>
        </w:rPr>
        <w:t xml:space="preserve">0.134 kgCO2e</w:t>
      </w:r>
    </w:p>
    <w:bookmarkEnd w:id="36"/>
    <w:bookmarkEnd w:id="37"/>
    <w:bookmarkStart w:id="38"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2.885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0.361</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0.151</w:t>
            </w:r>
          </w:p>
        </w:tc>
      </w:tr>
      <w:tr>
        <w:tc>
          <w:tcPr/>
          <w:p>
            <w:pPr>
              <w:pStyle w:val="Compact"/>
              <w:jc w:val="left"/>
            </w:pPr>
            <w:r>
              <w:t xml:space="preserve">Downstream Transport</w:t>
            </w:r>
          </w:p>
        </w:tc>
        <w:tc>
          <w:tcPr/>
          <w:p>
            <w:pPr>
              <w:pStyle w:val="Compact"/>
              <w:jc w:val="left"/>
            </w:pPr>
            <w:r>
              <w:t xml:space="preserve">Scope 3 (Category 9)</w:t>
            </w:r>
          </w:p>
        </w:tc>
        <w:tc>
          <w:tcPr/>
          <w:p>
            <w:pPr>
              <w:pStyle w:val="Compact"/>
              <w:jc w:val="left"/>
            </w:pPr>
            <w:r>
              <w:t xml:space="preserve">0.060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0.134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23.591 kgCO2e</w:t>
            </w:r>
          </w:p>
        </w:tc>
      </w:tr>
      <w:tr>
        <w:tc>
          <w:tcPr>
            <w:gridSpan w:val="2"/>
          </w:tcPr>
          <w:p>
            <w:pPr>
              <w:pStyle w:val="Compact"/>
              <w:jc w:val="right"/>
            </w:pPr>
            <w:r>
              <w:rPr>
                <w:bCs/>
                <w:b/>
              </w:rPr>
              <w:t xml:space="preserve">Total Scope 1 Emissions:</w:t>
            </w:r>
          </w:p>
        </w:tc>
        <w:tc>
          <w:tcPr/>
          <w:p>
            <w:pPr>
              <w:pStyle w:val="Compact"/>
              <w:jc w:val="left"/>
            </w:pPr>
            <w:r>
              <w:t xml:space="preserve">0.000 (Assumed negligible for this report)</w:t>
            </w:r>
          </w:p>
        </w:tc>
      </w:tr>
      <w:tr>
        <w:tc>
          <w:tcPr>
            <w:gridSpan w:val="2"/>
          </w:tcPr>
          <w:p>
            <w:pPr>
              <w:pStyle w:val="Compact"/>
              <w:jc w:val="right"/>
            </w:pPr>
            <w:r>
              <w:rPr>
                <w:bCs/>
                <w:b/>
              </w:rPr>
              <w:t xml:space="preserve">Total Scope 2 Emissions:</w:t>
            </w:r>
          </w:p>
        </w:tc>
        <w:tc>
          <w:tcPr/>
          <w:p>
            <w:pPr>
              <w:pStyle w:val="Compact"/>
              <w:jc w:val="left"/>
            </w:pPr>
            <w:r>
              <w:t xml:space="preserve">0.361</w:t>
            </w:r>
          </w:p>
        </w:tc>
      </w:tr>
      <w:tr>
        <w:tc>
          <w:tcPr>
            <w:gridSpan w:val="2"/>
          </w:tcPr>
          <w:p>
            <w:pPr>
              <w:pStyle w:val="Compact"/>
              <w:jc w:val="right"/>
            </w:pPr>
            <w:r>
              <w:rPr>
                <w:bCs/>
                <w:b/>
              </w:rPr>
              <w:t xml:space="preserve">Total Scope 3 Emissions:</w:t>
            </w:r>
          </w:p>
        </w:tc>
        <w:tc>
          <w:tcPr/>
          <w:p>
            <w:pPr>
              <w:pStyle w:val="Compact"/>
              <w:jc w:val="left"/>
            </w:pPr>
            <w:r>
              <w:t xml:space="preserve">23.230 (2.885 + 0.151 + 0.060 + 20.000 + 0.134)</w:t>
            </w:r>
          </w:p>
        </w:tc>
      </w:tr>
      <w:tr>
        <w:tc>
          <w:tcPr>
            <w:gridSpan w:val="2"/>
          </w:tcPr>
          <w:p>
            <w:pPr>
              <w:pStyle w:val="Compact"/>
              <w:jc w:val="right"/>
            </w:pPr>
            <w:r>
              <w:rPr>
                <w:bCs/>
                <w:b/>
              </w:rPr>
              <w:t xml:space="preserve">Scope 3 Coverage (as % of total PCF):</w:t>
            </w:r>
          </w:p>
        </w:tc>
        <w:tc>
          <w:tcPr/>
          <w:p>
            <w:pPr>
              <w:pStyle w:val="Compact"/>
              <w:jc w:val="left"/>
            </w:pPr>
            <w:r>
              <w:t xml:space="preserve">~98.5% (Meets 95% requirement)</w:t>
            </w:r>
          </w:p>
        </w:tc>
      </w:tr>
    </w:tbl>
    <w:p>
      <w:pPr>
        <w:pStyle w:val="BodyText"/>
      </w:pPr>
      <w:r>
        <w:t xml:space="preserve">The total Product Carbon Footprint for \'eduhfpfkzs\' is calculated to be approximately</w:t>
      </w:r>
      <w:r>
        <w:t xml:space="preserve"> </w:t>
      </w:r>
      <w:r>
        <w:rPr>
          <w:bCs/>
          <w:b/>
        </w:rPr>
        <w:t xml:space="preserve">23.591 kgCO2e</w:t>
      </w:r>
      <w:r>
        <w:t xml:space="preserve"> </w:t>
      </w:r>
      <w:r>
        <w:t xml:space="preserve">per unit. This analysis successfully achieves over 95% coverage for Scope 3 emissions, aligning with 2026 GHG Protocol requirements.</w:t>
      </w:r>
    </w:p>
    <w:p>
      <w:r>
        <w:pict>
          <v:rect style="width:0;height:1.5pt" o:hralign="center" o:hrstd="t" o:hr="t"/>
        </w:pict>
      </w:r>
    </w:p>
    <w:bookmarkEnd w:id="38"/>
    <w:bookmarkEnd w:id="39"/>
    <w:bookmarkStart w:id="43" w:name="review-report-hotspots-and-reliability"/>
    <w:p>
      <w:pPr>
        <w:pStyle w:val="Heading2"/>
      </w:pPr>
      <w:r>
        <w:t xml:space="preserve">5. Review &amp; Report (Hotspots and Reliability)</w:t>
      </w:r>
    </w:p>
    <w:p>
      <w:pPr>
        <w:pStyle w:val="FirstParagraph"/>
      </w:pPr>
      <w:r>
        <w:t xml:space="preserve">This section identifies the primary contributors to the product\'s carbon footprint and discusses the reliability of the assessment.</w:t>
      </w:r>
    </w:p>
    <w:bookmarkStart w:id="40" w:name="emission-hotspots"/>
    <w:p>
      <w:pPr>
        <w:pStyle w:val="Heading3"/>
      </w:pPr>
      <w:r>
        <w:t xml:space="preserve">Emission Hotspots</w:t>
      </w:r>
    </w:p>
    <w:p>
      <w:pPr>
        <w:numPr>
          <w:ilvl w:val="0"/>
          <w:numId w:val="1017"/>
        </w:numPr>
        <w:pStyle w:val="Compact"/>
      </w:pPr>
      <w:r>
        <w:rPr>
          <w:bCs/>
          <w:b/>
        </w:rPr>
        <w:t xml:space="preserve">Use Phase (20.000 kgCO2e, ~84.8% of total):</w:t>
      </w:r>
      <w:r>
        <w:t xml:space="preserve"> </w:t>
      </w:r>
      <w:r>
        <w:t xml:space="preserve">The most significant hotspot is the use phase, primarily driven by energy consumption over the product\'s 5-year lifespan. This highlights the critical importance of energy efficiency in product design and the carbon intensity of electricity grids where the product is used.</w:t>
      </w:r>
    </w:p>
    <w:p>
      <w:pPr>
        <w:numPr>
          <w:ilvl w:val="0"/>
          <w:numId w:val="1017"/>
        </w:numPr>
        <w:pStyle w:val="Compact"/>
      </w:pPr>
      <w:r>
        <w:rPr>
          <w:bCs/>
          <w:b/>
        </w:rPr>
        <w:t xml:space="preserve">Raw Material Acquisition &amp; Pre-processing (2.885 kgCO2e, ~12.2% of total):</w:t>
      </w:r>
      <w:r>
        <w:t xml:space="preserve"> </w:t>
      </w:r>
      <w:r>
        <w:t xml:space="preserve">The production of materials, particularly the Circuit Board and Plastic Casing, represents the second largest contributor. This emphasizes the need for sourcing lower-carbon materials and optimizing material usage.</w:t>
      </w:r>
    </w:p>
    <w:p>
      <w:pPr>
        <w:numPr>
          <w:ilvl w:val="0"/>
          <w:numId w:val="1017"/>
        </w:numPr>
        <w:pStyle w:val="Compact"/>
      </w:pPr>
      <w:r>
        <w:rPr>
          <w:bCs/>
          <w:b/>
        </w:rPr>
        <w:t xml:space="preserve">Manufacturing/Production (0.361 kgCO2e, ~1.5% of total):</w:t>
      </w:r>
      <w:r>
        <w:t xml:space="preserve"> </w:t>
      </w:r>
      <w:r>
        <w:t xml:space="preserve">While less significant than the use phase or materials, this stage can be further decarbonized by increasing renewable energy adoption beyond 75% at the production facility.</w:t>
      </w:r>
    </w:p>
    <w:p>
      <w:pPr>
        <w:numPr>
          <w:ilvl w:val="0"/>
          <w:numId w:val="1017"/>
        </w:numPr>
        <w:pStyle w:val="Compact"/>
      </w:pPr>
      <w:r>
        <w:rPr>
          <w:bCs/>
          <w:b/>
        </w:rPr>
        <w:t xml:space="preserve">Transport (0.211 kgCO2e, ~0.9% of total):</w:t>
      </w:r>
      <w:r>
        <w:t xml:space="preserve"> </w:t>
      </w:r>
      <w:r>
        <w:t xml:space="preserve">Upstream and downstream logistics contribute a smaller but still relevant portion, indicating opportunities for optimizing routes, modes, and load factors.</w:t>
      </w:r>
    </w:p>
    <w:p>
      <w:pPr>
        <w:numPr>
          <w:ilvl w:val="0"/>
          <w:numId w:val="1017"/>
        </w:numPr>
        <w:pStyle w:val="Compact"/>
      </w:pPr>
      <w:r>
        <w:rPr>
          <w:bCs/>
          <w:b/>
        </w:rPr>
        <w:t xml:space="preserve">End-of-Life (0.134 kgCO2e, ~0.6% of total):</w:t>
      </w:r>
      <w:r>
        <w:t xml:space="preserve"> </w:t>
      </w:r>
      <w:r>
        <w:t xml:space="preserve">Emissions from the unrecycled portion of the product underscore the value of circular economy initiatives.</w:t>
      </w:r>
    </w:p>
    <w:bookmarkEnd w:id="40"/>
    <w:bookmarkStart w:id="41" w:name="reliability-and-limitations"/>
    <w:p>
      <w:pPr>
        <w:pStyle w:val="Heading3"/>
      </w:pPr>
      <w:r>
        <w:t xml:space="preserve">Reliability and Limitations</w:t>
      </w:r>
    </w:p>
    <w:p>
      <w:pPr>
        <w:numPr>
          <w:ilvl w:val="0"/>
          <w:numId w:val="1018"/>
        </w:numPr>
        <w:pStyle w:val="Compact"/>
      </w:pPr>
      <w:r>
        <w:rPr>
          <w:bCs/>
          <w:b/>
        </w:rPr>
        <w:t xml:space="preserve">Secondary Data Reliance:</w:t>
      </w:r>
      <w:r>
        <w:t xml:space="preserve"> </w:t>
      </w:r>
      <w:r>
        <w:t xml:space="preserve">The analysis relies on publicly available, illustrative industry-standard emission factors. While these are representative, primary data from specific suppliers and processes would enhance accuracy.</w:t>
      </w:r>
    </w:p>
    <w:p>
      <w:pPr>
        <w:numPr>
          <w:ilvl w:val="0"/>
          <w:numId w:val="1018"/>
        </w:numPr>
        <w:pStyle w:val="Compact"/>
      </w:pPr>
      <w:r>
        <w:rPr>
          <w:bCs/>
          <w:b/>
        </w:rPr>
        <w:t xml:space="preserve">Parameter Assumptions:</w:t>
      </w:r>
      <w:r>
        <w:t xml:space="preserve"> </w:t>
      </w:r>
      <w:r>
        <w:t xml:space="preserve">Several parameters (e.g., transport distances, last-mile delivery type, assumed mass for PCB, global grid mix for use phase electricity, EoL factors) were based on reasonable assumptions due to the placeholder nature of the input strings. Real-world data for these parameters would improve precision.</w:t>
      </w:r>
    </w:p>
    <w:p>
      <w:pPr>
        <w:numPr>
          <w:ilvl w:val="0"/>
          <w:numId w:val="1018"/>
        </w:numPr>
        <w:pStyle w:val="Compact"/>
      </w:pPr>
      <w:r>
        <w:rPr>
          <w:bCs/>
          <w:b/>
        </w:rPr>
        <w:t xml:space="preserve">System Boundary:</w:t>
      </w:r>
      <w:r>
        <w:t xml:space="preserve"> </w:t>
      </w:r>
      <w:r>
        <w:t xml:space="preserve">While the analysis extends cradle-to-grave, the "factory_gate" reference in the original parameter was interpreted as the primary reporting boundary for manufacturing, with additional lifecycle stages covered by other explicit parameters.</w:t>
      </w:r>
    </w:p>
    <w:p>
      <w:pPr>
        <w:numPr>
          <w:ilvl w:val="0"/>
          <w:numId w:val="1018"/>
        </w:numPr>
        <w:pStyle w:val="Compact"/>
      </w:pPr>
      <w:r>
        <w:rPr>
          <w:bCs/>
          <w:b/>
        </w:rPr>
        <w:t xml:space="preserve">LSR Standard:</w:t>
      </w:r>
      <w:r>
        <w:t xml:space="preserve"> </w:t>
      </w:r>
      <w:r>
        <w:t xml:space="preserve">The 2026 Land Sector and Removals (LSR) Standard was acknowledged. However, without specific data on land-use change, bio-based materials, or carbon removals associated with \'eduhfpfkzs\', a quantitative application was not feasible in this report.</w:t>
      </w:r>
    </w:p>
    <w:p>
      <w:pPr>
        <w:numPr>
          <w:ilvl w:val="0"/>
          <w:numId w:val="1018"/>
        </w:numPr>
        <w:pStyle w:val="Compact"/>
      </w:pPr>
      <w:r>
        <w:rPr>
          <w:bCs/>
          <w:b/>
        </w:rPr>
        <w:t xml:space="preserve">Scope 3 Coverage:</w:t>
      </w:r>
      <w:r>
        <w:t xml:space="preserve"> </w:t>
      </w:r>
      <w:r>
        <w:t xml:space="preserve">The analysis achieved robust Scope 3 coverage (approx. 98.5%), addressing a key 2026 GHG Protocol requirement, though some categories may be zero or negligible based on the provided parameters.</w:t>
      </w:r>
    </w:p>
    <w:bookmarkEnd w:id="41"/>
    <w:bookmarkStart w:id="42" w:name="recommendations-for-ghg-reduction"/>
    <w:p>
      <w:pPr>
        <w:pStyle w:val="Heading3"/>
      </w:pPr>
      <w:r>
        <w:t xml:space="preserve">Recommendations for GHG Reduction</w:t>
      </w:r>
    </w:p>
    <w:p>
      <w:pPr>
        <w:numPr>
          <w:ilvl w:val="0"/>
          <w:numId w:val="1019"/>
        </w:numPr>
        <w:pStyle w:val="Compact"/>
      </w:pPr>
      <w:r>
        <w:rPr>
          <w:bCs/>
          <w:b/>
        </w:rPr>
        <w:t xml:space="preserve">Enhance Use Phase Efficiency:</w:t>
      </w:r>
      <w:r>
        <w:t xml:space="preserve"> </w:t>
      </w:r>
      <w:r>
        <w:t xml:space="preserve">Focus on designing \'eduhfpfkzs\' for maximum energy efficiency during its operational lifespan. This could involve using more efficient components, optimizing power management, or exploring low-power modes.</w:t>
      </w:r>
    </w:p>
    <w:p>
      <w:pPr>
        <w:numPr>
          <w:ilvl w:val="0"/>
          <w:numId w:val="1019"/>
        </w:numPr>
        <w:pStyle w:val="Compact"/>
      </w:pPr>
      <w:r>
        <w:rPr>
          <w:bCs/>
          <w:b/>
        </w:rPr>
        <w:t xml:space="preserve">Decarbonize Supply Chain:</w:t>
      </w:r>
      <w:r>
        <w:t xml:space="preserve"> </w:t>
      </w:r>
      <w:r>
        <w:t xml:space="preserve">Engage with material suppliers to identify and procure lower-carbon plastics, electronics, batteries, and metals. Explore opportunities for regional sourcing to reduce transport distances (though this must be balanced against manufacturing efficiencies in China).</w:t>
      </w:r>
    </w:p>
    <w:p>
      <w:pPr>
        <w:numPr>
          <w:ilvl w:val="0"/>
          <w:numId w:val="1019"/>
        </w:numPr>
        <w:pStyle w:val="Compact"/>
      </w:pPr>
      <w:r>
        <w:rPr>
          <w:bCs/>
          <w:b/>
        </w:rPr>
        <w:t xml:space="preserve">Increase Renewable Energy in Production:</w:t>
      </w:r>
      <w:r>
        <w:t xml:space="preserve"> </w:t>
      </w:r>
      <w:r>
        <w:t xml:space="preserve">While already at 75%, further increasing renewable energy usage at the manufacturing facility in China (e.g., through PPAs or on-site generation) would directly reduce Scope 2 emissions.</w:t>
      </w:r>
    </w:p>
    <w:p>
      <w:pPr>
        <w:numPr>
          <w:ilvl w:val="0"/>
          <w:numId w:val="1019"/>
        </w:numPr>
        <w:pStyle w:val="Compact"/>
      </w:pPr>
      <w:r>
        <w:rPr>
          <w:bCs/>
          <w:b/>
        </w:rPr>
        <w:t xml:space="preserve">Optimize Logistics:</w:t>
      </w:r>
      <w:r>
        <w:t xml:space="preserve"> </w:t>
      </w:r>
      <w:r>
        <w:t xml:space="preserve">Explore more efficient transport modes (e.g., rail or sea for bulk shipments), optimize routing, and maximize load factors to minimize emissions from both upstream and downstream transport.</w:t>
      </w:r>
    </w:p>
    <w:p>
      <w:pPr>
        <w:numPr>
          <w:ilvl w:val="0"/>
          <w:numId w:val="1019"/>
        </w:numPr>
        <w:pStyle w:val="Compact"/>
      </w:pPr>
      <w:r>
        <w:rPr>
          <w:bCs/>
          <w:b/>
        </w:rPr>
        <w:t xml:space="preserve">Strengthen Circular Economy Initiatives:</w:t>
      </w:r>
      <w:r>
        <w:t xml:space="preserve"> </w:t>
      </w:r>
      <w:r>
        <w:t xml:space="preserve">Expand and promote the take-back programs. Investigate design for disassembly and material recovery to increase the actual recycling rate beyond 60% and reduce reliance on virgin materials.</w:t>
      </w:r>
    </w:p>
    <w:p>
      <w:r>
        <w:pict>
          <v:rect style="width:0;height:1.5pt" o:hralign="center" o:hrstd="t" o:hr="t"/>
        </w:pict>
      </w:r>
    </w:p>
    <w:bookmarkEnd w:id="42"/>
    <w:bookmarkEnd w:id="43"/>
    <w:bookmarkStart w:id="44" w:name="conclusion"/>
    <w:p>
      <w:pPr>
        <w:pStyle w:val="Heading2"/>
      </w:pPr>
      <w:r>
        <w:t xml:space="preserve">Conclusion</w:t>
      </w:r>
    </w:p>
    <w:p>
      <w:pPr>
        <w:pStyle w:val="FirstParagraph"/>
      </w:pPr>
      <w:r>
        <w:t xml:space="preserve">The Product Carbon Footprint for \'eduhfpfkzs\' is approximately 23.591 kgCO2e per functional unit, with the use phase being the dominant contributor. By focusing on energy efficiency in product design, decarbonizing material supply chains, and further greening manufacturing operations, udvzpfyzzp can significantly reduce the environmental impact of \'eduhfpfkzs\' and align with its sustainability objectives.</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eduhfpfkzs</dc:title>
  <dc:creator/>
  <dc:description>High-detail Product Carbon Footprint (PCF) analysis report for product eduhfpfkzs, performed by Senior Sustainability Consultant dejodwyjdz for company udvzpfyzzp, adhering to GHG Protocol standards and 2026 requirements.</dc:description>
  <dc:language>en</dc:language>
  <cp:keywords/>
  <dcterms:created xsi:type="dcterms:W3CDTF">2026-05-30T16:48:40Z</dcterms:created>
  <dcterms:modified xsi:type="dcterms:W3CDTF">2026-05-30T16:48:40Z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