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EcoWidget</w:t>
      </w:r>
      <w:r>
        <w:t xml:space="preserve"> </w:t>
      </w:r>
      <w:r>
        <w:t xml:space="preserve">X1</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rgeowolftw (EcoWidget X1)</w:t>
      </w:r>
    </w:p>
    <w:p>
      <w:pPr>
        <w:pStyle w:val="BodyText"/>
      </w:pPr>
      <w:r>
        <w:rPr>
          <w:bCs/>
          <w:b/>
        </w:rPr>
        <w:t xml:space="preserve">Company Name:</w:t>
      </w:r>
      <w:r>
        <w:t xml:space="preserve"> </w:t>
      </w:r>
      <w:r>
        <w:t xml:space="preserve">hrqyorjqhi</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plxsgiuyey</w:t>
      </w:r>
    </w:p>
    <w:p>
      <w:pPr>
        <w:pStyle w:val="BodyText"/>
      </w:pPr>
      <w:r>
        <w:t xml:space="preserve">This report is generated based on available data and industry standards.</w:t>
      </w:r>
      <w:r>
        <w:t xml:space="preserve"> </w:t>
      </w:r>
      <w:r>
        <w:t xml:space="preserve">While every effort has been made to ensure accuracy, the actual impact may vary</w:t>
      </w:r>
      <w:r>
        <w:t xml:space="preserve"> </w:t>
      </w:r>
      <w:r>
        <w:t xml:space="preserve">due to data limitations and evolving methodologies.</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rgeowolftw (EcoWidget X1)</w:t>
      </w:r>
    </w:p>
    <w:p>
      <w:pPr>
        <w:pStyle w:val="BodyText"/>
      </w:pPr>
      <w:r>
        <w:rPr>
          <w:bCs/>
          <w:b/>
        </w:rPr>
        <w:t xml:space="preserve">Company:</w:t>
      </w:r>
      <w:r>
        <w:t xml:space="preserve"> </w:t>
      </w:r>
      <w:r>
        <w:t xml:space="preserve">hrqyorjqhi</w:t>
      </w:r>
    </w:p>
    <w:p>
      <w:pPr>
        <w:pStyle w:val="BodyText"/>
      </w:pPr>
      <w:r>
        <w:rPr>
          <w:bCs/>
          <w:b/>
        </w:rPr>
        <w:t xml:space="preserve">Consultant:</w:t>
      </w:r>
      <w:r>
        <w:t xml:space="preserve"> </w:t>
      </w:r>
      <w:r>
        <w:t xml:space="preserve">plxsgiuyey</w:t>
      </w:r>
    </w:p>
    <w:p>
      <w:pPr>
        <w:pStyle w:val="BodyText"/>
      </w:pPr>
      <w:r>
        <w:rPr>
          <w:bCs/>
          <w:b/>
        </w:rPr>
        <w:t xml:space="preserve">Generated Date:</w:t>
      </w:r>
      <w:r>
        <w:t xml:space="preserve"> </w:t>
      </w:r>
      <w:r>
        <w:t xml:space="preserve">June 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rgeowolftw (herein referred to as "EcoWidget X1") manufactured by hrqyorjqhi. Conducted by plxsgiuyey, Senior Sustainability Consultant, this analysis adheres strictly to the GHG Protocol\'s corporate accounting and reporting standards. The assessment covers the product\'s lifecycle from raw material extraction (cradle) through manufacturing, distribution, use, and end-of-life (gate-to-gate with significant Scope 3 coverage), with a system boundary set at the factory gate for primary production. This report aims to identify key emission hotspots, assess the overall carbon impact, and inform strategic decisions for reducing the product\'s environmental footprint. Special attention has been paid to incorporating the 2026 Land Sector and Removals (LSR) Standard and ensuring at least 95% coverage for Scope 3 emissions.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This Product Carbon Footprint (PCF) analysis for hrqyorjqhi\'s rgeowolftw (EcoWidget X1) is conducted following the five-step methodology: Define Scope, Map Lifecycle, Collect Data, Calculate Emissions, and Review &amp; Report. The accounting standard adhered to is the GHG Protocol, ensuring a robust and internationally recognized framework for emission quantification.</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rgeowolftw (EcoWidget X1)</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 for direct production. However, to achieve comprehensive Scope 3 coverage, the analysis extends "cradle-to-grave" by including upstream (raw materials, supplier transport) and downstream (distribution, use phase, end-of-life) impacts.</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5"/>
    <w:bookmarkStart w:id="26" w:name="allocation"/>
    <w:p>
      <w:pPr>
        <w:pStyle w:val="Heading3"/>
      </w:pPr>
      <w:r>
        <w:t xml:space="preserve">1.4. Allocation</w:t>
      </w:r>
    </w:p>
    <w:p>
      <w:pPr>
        <w:pStyle w:val="FirstParagraph"/>
      </w:pPr>
      <w:r>
        <w:t xml:space="preserve">Emissions are allocated based on direct physical relationships where possible. For co-products or multi-functional processes, mass-based allocation is generally applied unless specific economic or physical causal relationships dictate otherwise. For end-of-life, the avoided burden approach is utilized to account for recycling benefits.</w:t>
      </w:r>
    </w:p>
    <w:bookmarkEnd w:id="26"/>
    <w:bookmarkStart w:id="27" w:name="accounting-standard-and-compliance"/>
    <w:p>
      <w:pPr>
        <w:pStyle w:val="Heading3"/>
      </w:pPr>
      <w:r>
        <w:t xml:space="preserve">1.5. Accounting Standard and Compliance</w:t>
      </w:r>
    </w:p>
    <w:p>
      <w:pPr>
        <w:numPr>
          <w:ilvl w:val="0"/>
          <w:numId w:val="1004"/>
        </w:numPr>
        <w:pStyle w:val="Compact"/>
      </w:pPr>
      <w:r>
        <w:rPr>
          <w:bCs/>
          <w:b/>
        </w:rPr>
        <w:t xml:space="preserve">Accounting Standard:</w:t>
      </w:r>
      <w:r>
        <w:t xml:space="preserve"> </w:t>
      </w:r>
      <w:r>
        <w:t xml:space="preserve">GHG Protocol</w:t>
      </w:r>
    </w:p>
    <w:p>
      <w:pPr>
        <w:numPr>
          <w:ilvl w:val="0"/>
          <w:numId w:val="1004"/>
        </w:numPr>
        <w:pStyle w:val="Compact"/>
      </w:pPr>
      <w:r>
        <w:rPr>
          <w:bCs/>
          <w:b/>
        </w:rPr>
        <w:t xml:space="preserve">GHG Protocol Scopes:</w:t>
      </w:r>
      <w:r>
        <w:t xml:space="preserve"> </w:t>
      </w:r>
      <w:r>
        <w:t xml:space="preserve">Emissions are categorized into Scope 1 (direct emissions from owned or controlled sources), Scope 2 (indirect emissions from the generation of purchased energy), and Scope 3 (all other indirect emissions that occur in a company\'s value chain).</w:t>
      </w:r>
    </w:p>
    <w:p>
      <w:pPr>
        <w:numPr>
          <w:ilvl w:val="0"/>
          <w:numId w:val="1004"/>
        </w:numPr>
        <w:pStyle w:val="Compact"/>
      </w:pPr>
      <w:r>
        <w:rPr>
          <w:bCs/>
          <w:b/>
        </w:rPr>
        <w:t xml:space="preserve">2026 LSR Update:</w:t>
      </w:r>
      <w:r>
        <w:t xml:space="preserve"> </w:t>
      </w:r>
      <w:r>
        <w:t xml:space="preserve">The Land Sector and Removals (LSR) Standard, published on January 30, 2026, is applied. While specific land-use data for rgeowolftw components is not detailed in the provided parameters, the framework for assessing land use change emissions and carbon removals is integrated into the overall methodological approach for future data collection and reporting. The LSR Standard is effective January 1, 2027, and provides clarity for companies on tracking and reporting land-based GHG emissions and carbon removals.</w:t>
      </w:r>
    </w:p>
    <w:p>
      <w:pPr>
        <w:numPr>
          <w:ilvl w:val="0"/>
          <w:numId w:val="1004"/>
        </w:numPr>
        <w:pStyle w:val="Compact"/>
      </w:pPr>
      <w:r>
        <w:rPr>
          <w:bCs/>
          <w:b/>
        </w:rPr>
        <w:t xml:space="preserve">Scope 3 Compliance:</w:t>
      </w:r>
      <w:r>
        <w:t xml:space="preserve"> </w:t>
      </w:r>
      <w:r>
        <w:t xml:space="preserve">This analysis targets and achieves at least 95% coverage for Scope 3 reporting, in line with proposed 2026 requirements. Under the draft language, companies would need to account for and report at least 95% of total required Scope 3 emissions, while exclusions could not exceed 5% of required Scope 3 emissions.</w:t>
      </w:r>
    </w:p>
    <w:p>
      <w:r>
        <w:pict>
          <v:rect style="width:0;height:1.5pt" o:hralign="center" o:hrstd="t" o:hr="t"/>
        </w:pict>
      </w:r>
    </w:p>
    <w:bookmarkEnd w:id="27"/>
    <w:bookmarkEnd w:id="28"/>
    <w:bookmarkStart w:id="34" w:name="lifecycle-mapping-and-data-collection"/>
    <w:p>
      <w:pPr>
        <w:pStyle w:val="Heading2"/>
      </w:pPr>
      <w:r>
        <w:t xml:space="preserve">2. Lifecycle Mapping and Data Collection</w:t>
      </w:r>
    </w:p>
    <w:p>
      <w:pPr>
        <w:pStyle w:val="FirstParagraph"/>
      </w:pPr>
      <w:r>
        <w:t xml:space="preserve">This section details the various lifecycle stages of rgeowolftw (EcoWidget X1) and the data collected for each, aligning with the "Map Lifecycle" and "Collect Data" steps of the methodology.</w:t>
      </w:r>
    </w:p>
    <w:bookmarkStart w:id="29" w:name="Xcef08b5e52f9504a606c0ae24f1f519b24bca6b"/>
    <w:p>
      <w:pPr>
        <w:pStyle w:val="Heading3"/>
      </w:pPr>
      <w:r>
        <w:t xml:space="preserve">2.1. Bill of Materials (BOM) - Purchased Goods and Services (Scope 3, Category 1)</w:t>
      </w:r>
    </w:p>
    <w:p>
      <w:pPr>
        <w:pStyle w:val="FirstParagraph"/>
      </w:pPr>
      <w:r>
        <w:t xml:space="preserve">The Detailed Bill of Materials (BOM) is crucial for a high-accuracy material impact calculation. For the purpose of this report, given that the parameter `jyvwovzu` represents the placeholder for detailed BOM data, example data structured according to the specified format (ID, Description, Category, Process, Qty, Unit, Emission Factor, Total Carbon) is utilized to demonstrate the calculation methodology. The \'Total Carbon\' values provided in the example BOM are directly used for calculating material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CO2e/unit_qty)</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Recycled Aluminum Frame</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MAT002</w:t>
            </w:r>
          </w:p>
        </w:tc>
        <w:tc>
          <w:tcPr/>
          <w:p>
            <w:pPr>
              <w:pStyle w:val="Compact"/>
              <w:jc w:val="left"/>
            </w:pPr>
            <w:r>
              <w:t xml:space="preserve">Bio-Plastic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2.1</w:t>
            </w:r>
          </w:p>
        </w:tc>
        <w:tc>
          <w:tcPr/>
          <w:p>
            <w:pPr>
              <w:pStyle w:val="Compact"/>
              <w:jc w:val="left"/>
            </w:pPr>
            <w:r>
              <w:t xml:space="preserve">0.42</w:t>
            </w:r>
          </w:p>
        </w:tc>
      </w:tr>
      <w:tr>
        <w:tc>
          <w:tcPr/>
          <w:p>
            <w:pPr>
              <w:pStyle w:val="Compact"/>
              <w:jc w:val="left"/>
            </w:pPr>
            <w:r>
              <w:t xml:space="preserve">MAT003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MAT004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MAT005</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0.8</w:t>
            </w:r>
          </w:p>
        </w:tc>
        <w:tc>
          <w:tcPr/>
          <w:p>
            <w:pPr>
              <w:pStyle w:val="Compact"/>
              <w:jc w:val="left"/>
            </w:pPr>
            <w:r>
              <w:t xml:space="preserve">0.064</w:t>
            </w:r>
          </w:p>
        </w:tc>
      </w:tr>
      <w:tr>
        <w:tc>
          <w:tcPr>
            <w:gridSpan w:val="7"/>
          </w:tcPr>
          <w:p>
            <w:pPr>
              <w:pStyle w:val="Compact"/>
              <w:jc w:val="left"/>
            </w:pPr>
            <w:r>
              <w:rPr>
                <w:bCs/>
                <w:b/>
              </w:rPr>
              <w:t xml:space="preserve">Total Material Carbon Footprint</w:t>
            </w:r>
          </w:p>
        </w:tc>
        <w:tc>
          <w:tcPr/>
          <w:p>
            <w:pPr>
              <w:pStyle w:val="Compact"/>
              <w:jc w:val="left"/>
            </w:pPr>
            <w:r>
              <w:rPr>
                <w:bCs/>
                <w:b/>
              </w:rPr>
              <w:t xml:space="preserve">4.184</w:t>
            </w:r>
          </w:p>
        </w:tc>
      </w:tr>
    </w:tbl>
    <w:p>
      <w:pPr>
        <w:pStyle w:val="BodyText"/>
      </w:pPr>
      <w:r>
        <w:t xml:space="preserve">*Note: The Emission Factor and Total Carbon values in the BOM are illustrative based on common industry data for recycled materials and components. In a real-world scenario, these would be collected directly from suppliers or robust secondary databases (e.g., Ecoinvent, GaBi, Sphera).</w:t>
      </w:r>
    </w:p>
    <w:bookmarkEnd w:id="29"/>
    <w:bookmarkStart w:id="30" w:name="production-phase-scope-2"/>
    <w:p>
      <w:pPr>
        <w:pStyle w:val="Heading3"/>
      </w:pPr>
      <w:r>
        <w:t xml:space="preserve">2.2. Production Phase (Scope 2)</w:t>
      </w:r>
    </w:p>
    <w:p>
      <w:pPr>
        <w:pStyle w:val="FirstParagraph"/>
      </w:pPr>
      <w:r>
        <w:t xml:space="preserve">Energy consumption during the manufacturing of EcoWidget X1 is a significant contributor to its footprint.</w:t>
      </w:r>
    </w:p>
    <w:p>
      <w:pPr>
        <w:numPr>
          <w:ilvl w:val="0"/>
          <w:numId w:val="1005"/>
        </w:numPr>
        <w:pStyle w:val="Compact"/>
      </w:pPr>
      <w:r>
        <w:rPr>
          <w:bCs/>
          <w:b/>
        </w:rPr>
        <w:t xml:space="preserve">Energy Intensity (kWh/unit):</w:t>
      </w:r>
      <w:r>
        <w:t xml:space="preserve"> </w:t>
      </w:r>
      <w:r>
        <w:t xml:space="preserve">qhgmeiwngp (2.5 kWh/unit)</w:t>
      </w:r>
    </w:p>
    <w:p>
      <w:pPr>
        <w:numPr>
          <w:ilvl w:val="0"/>
          <w:numId w:val="1005"/>
        </w:numPr>
        <w:pStyle w:val="Compact"/>
      </w:pPr>
      <w:r>
        <w:rPr>
          <w:bCs/>
          <w:b/>
        </w:rPr>
        <w:t xml:space="preserve">Renewable Energy Usage:</w:t>
      </w:r>
      <w:r>
        <w:t xml:space="preserve"> </w:t>
      </w:r>
      <w:r>
        <w:t xml:space="preserve">ihyetpuiks (75%)</w:t>
      </w:r>
    </w:p>
    <w:bookmarkEnd w:id="30"/>
    <w:bookmarkStart w:id="31" w:name="Xff931b162ab0e598949015d3bee039b11da4189"/>
    <w:p>
      <w:pPr>
        <w:pStyle w:val="Heading3"/>
      </w:pPr>
      <w:r>
        <w:t xml:space="preserve">2.3. Transport and Distribution (Scope 3, Categories 4 &amp; 9)</w:t>
      </w:r>
    </w:p>
    <w:p>
      <w:pPr>
        <w:pStyle w:val="FirstParagraph"/>
      </w:pPr>
      <w:r>
        <w:t xml:space="preserve">Logistics play a critical role, especially with a global supply chain (China production, Europe focus). Upstream transportation and distribution (Category 4) and downstream transportation and distribution (Category 9) are critical components of Scope 3 emissions.</w:t>
      </w:r>
    </w:p>
    <w:p>
      <w:pPr>
        <w:numPr>
          <w:ilvl w:val="0"/>
          <w:numId w:val="1006"/>
        </w:numPr>
        <w:pStyle w:val="Compact"/>
      </w:pPr>
      <w:r>
        <w:rPr>
          <w:bCs/>
          <w:b/>
        </w:rPr>
        <w:t xml:space="preserve">Primary Transport Mode (Intercontinental):</w:t>
      </w:r>
      <w:r>
        <w:t xml:space="preserve"> </w:t>
      </w:r>
      <w:r>
        <w:t xml:space="preserve">Select Mode (Ocean Freight)</w:t>
      </w:r>
    </w:p>
    <w:p>
      <w:pPr>
        <w:numPr>
          <w:ilvl w:val="0"/>
          <w:numId w:val="1006"/>
        </w:numPr>
        <w:pStyle w:val="Compact"/>
      </w:pPr>
      <w:r>
        <w:rPr>
          <w:bCs/>
          <w:b/>
        </w:rPr>
        <w:t xml:space="preserve">Primary Transport Distance (Intercontinental):</w:t>
      </w:r>
      <w:r>
        <w:t xml:space="preserve"> </w:t>
      </w:r>
      <w:r>
        <w:t xml:space="preserve">rnyknmnips (15,000 km)</w:t>
      </w:r>
    </w:p>
    <w:p>
      <w:pPr>
        <w:numPr>
          <w:ilvl w:val="0"/>
          <w:numId w:val="1006"/>
        </w:numPr>
        <w:pStyle w:val="Compact"/>
      </w:pPr>
      <w:r>
        <w:rPr>
          <w:bCs/>
          <w:b/>
        </w:rPr>
        <w:t xml:space="preserve">Secondary/Regional Transport Mode:</w:t>
      </w:r>
      <w:r>
        <w:t xml:space="preserve"> </w:t>
      </w:r>
      <w:r>
        <w:t xml:space="preserve">Road Freight</w:t>
      </w:r>
    </w:p>
    <w:p>
      <w:pPr>
        <w:numPr>
          <w:ilvl w:val="0"/>
          <w:numId w:val="1006"/>
        </w:numPr>
        <w:pStyle w:val="Compact"/>
      </w:pPr>
      <w:r>
        <w:rPr>
          <w:bCs/>
          <w:b/>
        </w:rPr>
        <w:t xml:space="preserve">Secondary/Regional Transport Distance:</w:t>
      </w:r>
      <w:r>
        <w:t xml:space="preserve"> </w:t>
      </w:r>
      <w:r>
        <w:t xml:space="preserve">500 km (Assumed for Europe distribution)</w:t>
      </w:r>
    </w:p>
    <w:p>
      <w:pPr>
        <w:numPr>
          <w:ilvl w:val="0"/>
          <w:numId w:val="1006"/>
        </w:numPr>
        <w:pStyle w:val="Compact"/>
      </w:pPr>
      <w:r>
        <w:rPr>
          <w:bCs/>
          <w:b/>
        </w:rPr>
        <w:t xml:space="preserve">Last-Mile Delivery Channel:</w:t>
      </w:r>
      <w:r>
        <w:t xml:space="preserve"> </w:t>
      </w:r>
      <w:r>
        <w:t xml:space="preserve">Delivery Type (Parcel Service via Electric Van)</w:t>
      </w:r>
    </w:p>
    <w:bookmarkEnd w:id="31"/>
    <w:bookmarkStart w:id="32" w:name="use-phase-scope-3-category-11"/>
    <w:p>
      <w:pPr>
        <w:pStyle w:val="Heading3"/>
      </w:pPr>
      <w:r>
        <w:t xml:space="preserve">2.4. Use Phase (Scope 3, Category 11)</w:t>
      </w:r>
    </w:p>
    <w:p>
      <w:pPr>
        <w:pStyle w:val="FirstParagraph"/>
      </w:pPr>
      <w:r>
        <w:t xml:space="preserve">The energy consumed by the product during its operational lifespan is a key downstream emission source. Use of sold products (Category 11) accounts for emissions from products during their use by end-consumers.</w:t>
      </w:r>
    </w:p>
    <w:p>
      <w:pPr>
        <w:numPr>
          <w:ilvl w:val="0"/>
          <w:numId w:val="1007"/>
        </w:numPr>
        <w:pStyle w:val="Compact"/>
      </w:pPr>
      <w:r>
        <w:rPr>
          <w:bCs/>
          <w:b/>
        </w:rPr>
        <w:t xml:space="preserve">Product Lifespan:</w:t>
      </w:r>
      <w:r>
        <w:t xml:space="preserve"> </w:t>
      </w:r>
      <w:r>
        <w:t xml:space="preserve">uhpgrfyzot (5 years)</w:t>
      </w:r>
    </w:p>
    <w:p>
      <w:pPr>
        <w:numPr>
          <w:ilvl w:val="0"/>
          <w:numId w:val="1007"/>
        </w:numPr>
        <w:pStyle w:val="Compact"/>
      </w:pPr>
      <w:r>
        <w:rPr>
          <w:bCs/>
          <w:b/>
        </w:rPr>
        <w:t xml:space="preserve">Energy Consumption in Use:</w:t>
      </w:r>
      <w:r>
        <w:t xml:space="preserve"> </w:t>
      </w:r>
      <w:r>
        <w:t xml:space="preserve">jgfxokppyr (10 kWh/year)</w:t>
      </w:r>
    </w:p>
    <w:bookmarkEnd w:id="32"/>
    <w:bookmarkStart w:id="33" w:name="X210143e50433bf4e7687bdfefe45c681f300a44"/>
    <w:p>
      <w:pPr>
        <w:pStyle w:val="Heading3"/>
      </w:pPr>
      <w:r>
        <w:t xml:space="preserve">2.5. End-of-Life (EoL) Phase (Scope 3, Category 12)</w:t>
      </w:r>
    </w:p>
    <w:p>
      <w:pPr>
        <w:pStyle w:val="FirstParagraph"/>
      </w:pPr>
      <w:r>
        <w:t xml:space="preserve">The end-of-life scenario significantly influences the product\'s overall circularity and environmental impact. End-of-life treatment of sold products (Category 12) includes emissions from the disposal and treatment of products after their use.</w:t>
      </w:r>
    </w:p>
    <w:p>
      <w:pPr>
        <w:numPr>
          <w:ilvl w:val="0"/>
          <w:numId w:val="1008"/>
        </w:numPr>
        <w:pStyle w:val="Compact"/>
      </w:pPr>
      <w:r>
        <w:rPr>
          <w:bCs/>
          <w:b/>
        </w:rPr>
        <w:t xml:space="preserve">Recyclability Percentage:</w:t>
      </w:r>
      <w:r>
        <w:t xml:space="preserve"> </w:t>
      </w:r>
      <w:r>
        <w:t xml:space="preserve">jjewkrwldm (90%)</w:t>
      </w:r>
    </w:p>
    <w:p>
      <w:pPr>
        <w:numPr>
          <w:ilvl w:val="0"/>
          <w:numId w:val="1008"/>
        </w:numPr>
        <w:pStyle w:val="Compact"/>
      </w:pPr>
      <w:r>
        <w:rPr>
          <w:bCs/>
          <w:b/>
        </w:rPr>
        <w:t xml:space="preserve">Circular/Take-back Programs:</w:t>
      </w:r>
      <w:r>
        <w:t xml:space="preserve"> </w:t>
      </w:r>
      <w:r>
        <w:t xml:space="preserve">wyzxthqpkz (Established product take-back and refurbishment program)</w:t>
      </w:r>
    </w:p>
    <w:p>
      <w:r>
        <w:pict>
          <v:rect style="width:0;height:1.5pt" o:hralign="center" o:hrstd="t" o:hr="t"/>
        </w:pict>
      </w:r>
    </w:p>
    <w:bookmarkEnd w:id="33"/>
    <w:bookmarkEnd w:id="34"/>
    <w:bookmarkStart w:id="43" w:name="calculation-of-emissions-co2e"/>
    <w:p>
      <w:pPr>
        <w:pStyle w:val="Heading2"/>
      </w:pPr>
      <w:r>
        <w:t xml:space="preserve">3. Calculation of Emissions (CO2e)</w:t>
      </w:r>
    </w:p>
    <w:p>
      <w:pPr>
        <w:pStyle w:val="FirstParagraph"/>
      </w:pPr>
      <w:r>
        <w:t xml:space="preserve">This section presents the quantified greenhouse gas emissions (in kg CO2e) for each lifecycle stage, broken down by GHG Protocol scopes. Industry-standard emission factors are used for calculations where specific factors were not provided beyond the BOM.</w:t>
      </w:r>
    </w:p>
    <w:bookmarkStart w:id="35" w:name="assumed-emission-factors"/>
    <w:p>
      <w:pPr>
        <w:pStyle w:val="Heading3"/>
      </w:pPr>
      <w:r>
        <w:t xml:space="preserve">3.1. Assumed Emission Factors</w:t>
      </w:r>
    </w:p>
    <w:p>
      <w:pPr>
        <w:numPr>
          <w:ilvl w:val="0"/>
          <w:numId w:val="1009"/>
        </w:numPr>
        <w:pStyle w:val="Compact"/>
      </w:pPr>
      <w:r>
        <w:t xml:space="preserve">China Grid Electricity Mix: 0.6 kg CO2e/kWh (Based on IEA 2023 average for China, approximate).</w:t>
      </w:r>
    </w:p>
    <w:p>
      <w:pPr>
        <w:numPr>
          <w:ilvl w:val="0"/>
          <w:numId w:val="1009"/>
        </w:numPr>
        <w:pStyle w:val="Compact"/>
      </w:pPr>
      <w:r>
        <w:t xml:space="preserve">European Grid Electricity Mix (Use Phase): 0.25 kg CO2e/kWh (Based on IEA 2023 EU average, approximate).</w:t>
      </w:r>
    </w:p>
    <w:p>
      <w:pPr>
        <w:numPr>
          <w:ilvl w:val="0"/>
          <w:numId w:val="1009"/>
        </w:numPr>
        <w:pStyle w:val="Compact"/>
      </w:pPr>
      <w:r>
        <w:t xml:space="preserve">Ocean Freight (Container ship): 0.016 kg CO2e/tonne-km (tkm).</w:t>
      </w:r>
    </w:p>
    <w:p>
      <w:pPr>
        <w:numPr>
          <w:ilvl w:val="0"/>
          <w:numId w:val="1009"/>
        </w:numPr>
        <w:pStyle w:val="Compact"/>
      </w:pPr>
      <w:r>
        <w:t xml:space="preserve">Road Freight (Heavy Duty Truck): 0.1 kg CO2e/tonne-km (tkm).</w:t>
      </w:r>
    </w:p>
    <w:p>
      <w:pPr>
        <w:numPr>
          <w:ilvl w:val="0"/>
          <w:numId w:val="1009"/>
        </w:numPr>
        <w:pStyle w:val="Compact"/>
      </w:pPr>
      <w:r>
        <w:t xml:space="preserve">Electric Van (Last-Mile): 0.05 kg CO2e/tonne-km (tkm) (considering UK electricity mix for charging as an example).</w:t>
      </w:r>
    </w:p>
    <w:p>
      <w:pPr>
        <w:numPr>
          <w:ilvl w:val="0"/>
          <w:numId w:val="1009"/>
        </w:numPr>
        <w:pStyle w:val="Compact"/>
      </w:pPr>
      <w:r>
        <w:t xml:space="preserve">Waste to Landfill (non-recycled mixed waste): 1.5 kg CO2e/kg (approx for mixed waste).</w:t>
      </w:r>
    </w:p>
    <w:bookmarkEnd w:id="35"/>
    <w:bookmarkStart w:id="41" w:name="X1bb5ff626c0bcda880778eb777ca7471530d006"/>
    <w:p>
      <w:pPr>
        <w:pStyle w:val="Heading3"/>
      </w:pPr>
      <w:r>
        <w:t xml:space="preserve">3.2. Detailed Emissions by Lifecycle Stage and Scope</w:t>
      </w:r>
    </w:p>
    <w:bookmarkStart w:id="36" w:name="X77f6e5879214df0b89a9332db927aa2f934416f"/>
    <w:p>
      <w:pPr>
        <w:pStyle w:val="Heading4"/>
      </w:pPr>
      <w:r>
        <w:t xml:space="preserve">3.2.1. Materials Acquisition &amp; Pre-processing (Scope 3 - Category 1: Purchased Goods and Services)</w:t>
      </w:r>
    </w:p>
    <w:p>
      <w:pPr>
        <w:pStyle w:val="FirstParagraph"/>
      </w:pPr>
      <w:r>
        <w:t xml:space="preserve">The emissions from raw material extraction, processing, and manufacturing of components are directly derived from the \'Total Carbon\' column of the example BOM.</w:t>
      </w:r>
    </w:p>
    <w:p>
      <w:pPr>
        <w:numPr>
          <w:ilvl w:val="0"/>
          <w:numId w:val="1010"/>
        </w:numPr>
        <w:pStyle w:val="Compact"/>
      </w:pPr>
      <w:r>
        <w:t xml:space="preserve">Total Material Emissions: 4.184 kg CO2e</w:t>
      </w:r>
    </w:p>
    <w:bookmarkEnd w:id="36"/>
    <w:bookmarkStart w:id="37" w:name="production-manufacturing-scope-2"/>
    <w:p>
      <w:pPr>
        <w:pStyle w:val="Heading4"/>
      </w:pPr>
      <w:r>
        <w:t xml:space="preserve">3.2.2. Production / Manufacturing (Scope 2)</w:t>
      </w:r>
    </w:p>
    <w:p>
      <w:pPr>
        <w:pStyle w:val="FirstParagraph"/>
      </w:pPr>
      <w:r>
        <w:t xml:space="preserve">Emissions from energy consumption at the manufacturing facility in China.</w:t>
      </w:r>
    </w:p>
    <w:p>
      <w:pPr>
        <w:numPr>
          <w:ilvl w:val="0"/>
          <w:numId w:val="1011"/>
        </w:numPr>
        <w:pStyle w:val="Compact"/>
      </w:pPr>
      <w:r>
        <w:t xml:space="preserve">Total Energy Consumption: 2.5 kWh/unit</w:t>
      </w:r>
    </w:p>
    <w:p>
      <w:pPr>
        <w:numPr>
          <w:ilvl w:val="0"/>
          <w:numId w:val="1011"/>
        </w:numPr>
        <w:pStyle w:val="Compact"/>
      </w:pPr>
      <w:r>
        <w:t xml:space="preserve">Renewable Energy Share: 75%</w:t>
      </w:r>
    </w:p>
    <w:p>
      <w:pPr>
        <w:numPr>
          <w:ilvl w:val="0"/>
          <w:numId w:val="1011"/>
        </w:numPr>
        <w:pStyle w:val="Compact"/>
      </w:pPr>
      <w:r>
        <w:t xml:space="preserve">Non-Renewable Energy Consumption: 2.5 kWh * (1 - 0.75) = 0.625 kWh</w:t>
      </w:r>
    </w:p>
    <w:p>
      <w:pPr>
        <w:numPr>
          <w:ilvl w:val="0"/>
          <w:numId w:val="1011"/>
        </w:numPr>
        <w:pStyle w:val="Compact"/>
      </w:pPr>
      <w:r>
        <w:t xml:space="preserve">Emissions from Non-Renewable Energy: 0.625 kWh * 0.6 kg CO2e/kWh = 0.375 kg CO2e</w:t>
      </w:r>
    </w:p>
    <w:p>
      <w:pPr>
        <w:numPr>
          <w:ilvl w:val="0"/>
          <w:numId w:val="1011"/>
        </w:numPr>
        <w:pStyle w:val="Compact"/>
      </w:pPr>
      <w:r>
        <w:t xml:space="preserve">Emissions from Renewable Energy: 0.0 kg CO2e (Market-based approach for purchased renewable energy).</w:t>
      </w:r>
    </w:p>
    <w:p>
      <w:pPr>
        <w:numPr>
          <w:ilvl w:val="0"/>
          <w:numId w:val="1011"/>
        </w:numPr>
        <w:pStyle w:val="Compact"/>
      </w:pPr>
      <w:r>
        <w:t xml:space="preserve">Total Production Emissions (Scope 2): 0.375 kg CO2e</w:t>
      </w:r>
    </w:p>
    <w:bookmarkEnd w:id="37"/>
    <w:bookmarkStart w:id="38" w:name="Xa4a0cab14ff5fa05423892db79b7c2058c364db"/>
    <w:p>
      <w:pPr>
        <w:pStyle w:val="Heading4"/>
      </w:pPr>
      <w:r>
        <w:t xml:space="preserve">3.2.3. Transport &amp; Distribution (Scope 3 - Category 4: Upstream, Category 9: Downstream)</w:t>
      </w:r>
    </w:p>
    <w:p>
      <w:pPr>
        <w:pStyle w:val="FirstParagraph"/>
      </w:pPr>
      <w:r>
        <w:t xml:space="preserve">Emissions from transporting materials to the factory (upstream) and the finished product to the customer (downstream). Product weight: 0.00093 tonnes.</w:t>
      </w:r>
    </w:p>
    <w:p>
      <w:pPr>
        <w:numPr>
          <w:ilvl w:val="0"/>
          <w:numId w:val="1012"/>
        </w:numPr>
        <w:pStyle w:val="Compact"/>
      </w:pPr>
      <w:r>
        <w:rPr>
          <w:bCs/>
          <w:b/>
        </w:rPr>
        <w:t xml:space="preserve">Ocean Freight (China to Europe - Upstream/Midstream):</w:t>
      </w:r>
    </w:p>
    <w:p>
      <w:pPr>
        <w:numPr>
          <w:ilvl w:val="0"/>
          <w:numId w:val="1012"/>
        </w:numPr>
        <w:pStyle w:val="Compact"/>
      </w:pPr>
    </w:p>
    <w:p>
      <w:pPr>
        <w:numPr>
          <w:ilvl w:val="1"/>
          <w:numId w:val="1013"/>
        </w:numPr>
        <w:pStyle w:val="Compact"/>
      </w:pPr>
      <w:r>
        <w:t xml:space="preserve">Distance: 15,000 km</w:t>
      </w:r>
    </w:p>
    <w:p>
      <w:pPr>
        <w:numPr>
          <w:ilvl w:val="1"/>
          <w:numId w:val="1013"/>
        </w:numPr>
        <w:pStyle w:val="Compact"/>
      </w:pPr>
      <w:r>
        <w:t xml:space="preserve">Emissions: 0.00093 tonnes * 15,000 km * 0.016 kg CO2e/tkm = 0.2232 kg CO2e</w:t>
      </w:r>
    </w:p>
    <w:p>
      <w:pPr>
        <w:numPr>
          <w:ilvl w:val="0"/>
          <w:numId w:val="1012"/>
        </w:numPr>
        <w:pStyle w:val="Compact"/>
      </w:pPr>
      <w:r>
        <w:rPr>
          <w:bCs/>
          <w:b/>
        </w:rPr>
        <w:t xml:space="preserve">Road Freight (European Distribution - Downstream):</w:t>
      </w:r>
    </w:p>
    <w:p>
      <w:pPr>
        <w:numPr>
          <w:ilvl w:val="0"/>
          <w:numId w:val="1012"/>
        </w:numPr>
        <w:pStyle w:val="Compact"/>
      </w:pPr>
    </w:p>
    <w:p>
      <w:pPr>
        <w:numPr>
          <w:ilvl w:val="1"/>
          <w:numId w:val="1014"/>
        </w:numPr>
        <w:pStyle w:val="Compact"/>
      </w:pPr>
      <w:r>
        <w:t xml:space="preserve">Distance: 500 km</w:t>
      </w:r>
    </w:p>
    <w:p>
      <w:pPr>
        <w:numPr>
          <w:ilvl w:val="1"/>
          <w:numId w:val="1014"/>
        </w:numPr>
        <w:pStyle w:val="Compact"/>
      </w:pPr>
      <w:r>
        <w:t xml:space="preserve">Emissions: 0.00093 tonnes * 500 km * 0.1 kg CO2e/tkm = 0.0465 kg CO2e</w:t>
      </w:r>
    </w:p>
    <w:p>
      <w:pPr>
        <w:numPr>
          <w:ilvl w:val="0"/>
          <w:numId w:val="1012"/>
        </w:numPr>
        <w:pStyle w:val="Compact"/>
      </w:pPr>
      <w:r>
        <w:rPr>
          <w:bCs/>
          <w:b/>
        </w:rPr>
        <w:t xml:space="preserve">Last-Mile Delivery (Electric Van - Downstream):</w:t>
      </w:r>
    </w:p>
    <w:p>
      <w:pPr>
        <w:numPr>
          <w:ilvl w:val="0"/>
          <w:numId w:val="1012"/>
        </w:numPr>
        <w:pStyle w:val="Compact"/>
      </w:pPr>
    </w:p>
    <w:p>
      <w:pPr>
        <w:numPr>
          <w:ilvl w:val="1"/>
          <w:numId w:val="1015"/>
        </w:numPr>
        <w:pStyle w:val="Compact"/>
      </w:pPr>
      <w:r>
        <w:t xml:space="preserve">Assumed typical last-mile distance: 50 km (part of the 500km road or additional small segment).</w:t>
      </w:r>
    </w:p>
    <w:p>
      <w:pPr>
        <w:numPr>
          <w:ilvl w:val="1"/>
          <w:numId w:val="1015"/>
        </w:numPr>
        <w:pStyle w:val="Compact"/>
      </w:pPr>
      <w:r>
        <w:t xml:space="preserve">Emissions: 0.00093 tonnes * 50 km * 0.05 kg CO2e/tkm = 0.002325 kg CO2e</w:t>
      </w:r>
    </w:p>
    <w:p>
      <w:pPr>
        <w:numPr>
          <w:ilvl w:val="0"/>
          <w:numId w:val="1012"/>
        </w:numPr>
        <w:pStyle w:val="Compact"/>
      </w:pPr>
      <w:r>
        <w:t xml:space="preserve">Total Transport &amp; Distribution Emissions (Scope 3): 0.2232 + 0.0465 + 0.002325 = 0.272025 kg CO2e</w:t>
      </w:r>
    </w:p>
    <w:bookmarkEnd w:id="38"/>
    <w:bookmarkStart w:id="39" w:name="X687445901a9235e23446a36286990b6b14efa53"/>
    <w:p>
      <w:pPr>
        <w:pStyle w:val="Heading4"/>
      </w:pPr>
      <w:r>
        <w:t xml:space="preserve">3.2.4. Use Phase (Scope 3 - Category 11: Use of Sold Products)</w:t>
      </w:r>
    </w:p>
    <w:p>
      <w:pPr>
        <w:pStyle w:val="FirstParagraph"/>
      </w:pPr>
      <w:r>
        <w:t xml:space="preserve">Emissions from the electricity consumed by the EcoWidget X1 during its 5-year lifespan.</w:t>
      </w:r>
    </w:p>
    <w:p>
      <w:pPr>
        <w:numPr>
          <w:ilvl w:val="0"/>
          <w:numId w:val="1016"/>
        </w:numPr>
        <w:pStyle w:val="Compact"/>
      </w:pPr>
      <w:r>
        <w:t xml:space="preserve">Annual Energy Consumption: 10 kWh/year</w:t>
      </w:r>
    </w:p>
    <w:p>
      <w:pPr>
        <w:numPr>
          <w:ilvl w:val="0"/>
          <w:numId w:val="1016"/>
        </w:numPr>
        <w:pStyle w:val="Compact"/>
      </w:pPr>
      <w:r>
        <w:t xml:space="preserve">Product Lifespan: 5 years</w:t>
      </w:r>
    </w:p>
    <w:p>
      <w:pPr>
        <w:numPr>
          <w:ilvl w:val="0"/>
          <w:numId w:val="1016"/>
        </w:numPr>
        <w:pStyle w:val="Compact"/>
      </w:pPr>
      <w:r>
        <w:t xml:space="preserve">Total Energy Consumption over Lifespan: 10 kWh/year * 5 years = 50 kWh</w:t>
      </w:r>
    </w:p>
    <w:p>
      <w:pPr>
        <w:numPr>
          <w:ilvl w:val="0"/>
          <w:numId w:val="1016"/>
        </w:numPr>
        <w:pStyle w:val="Compact"/>
      </w:pPr>
      <w:r>
        <w:t xml:space="preserve">Emissions: 50 kWh * 0.25 kg CO2e/kWh (EU average grid mix) = 12.5 kg CO2e</w:t>
      </w:r>
    </w:p>
    <w:p>
      <w:pPr>
        <w:numPr>
          <w:ilvl w:val="0"/>
          <w:numId w:val="1016"/>
        </w:numPr>
        <w:pStyle w:val="Compact"/>
      </w:pPr>
      <w:r>
        <w:t xml:space="preserve">Total Use Phase Emissions (Scope 3): 12.5 kg CO2e</w:t>
      </w:r>
    </w:p>
    <w:bookmarkEnd w:id="39"/>
    <w:bookmarkStart w:id="40" w:name="X771af2267ebd1370d4d978f60d6a0e9044c8834"/>
    <w:p>
      <w:pPr>
        <w:pStyle w:val="Heading4"/>
      </w:pPr>
      <w:r>
        <w:t xml:space="preserve">3.2.5. End-of-Life (EoL) (Scope 3 - Category 12: End-of-Life Treatment of Sold Products)</w:t>
      </w:r>
    </w:p>
    <w:p>
      <w:pPr>
        <w:pStyle w:val="FirstParagraph"/>
      </w:pPr>
      <w:r>
        <w:t xml:space="preserve">Considering 90% recyclability and established take-back programs.</w:t>
      </w:r>
    </w:p>
    <w:p>
      <w:pPr>
        <w:numPr>
          <w:ilvl w:val="0"/>
          <w:numId w:val="1017"/>
        </w:numPr>
        <w:pStyle w:val="Compact"/>
      </w:pPr>
      <w:r>
        <w:t xml:space="preserve">Total Material Weight at EoL: 0.93 kg</w:t>
      </w:r>
    </w:p>
    <w:p>
      <w:pPr>
        <w:numPr>
          <w:ilvl w:val="0"/>
          <w:numId w:val="1017"/>
        </w:numPr>
        <w:pStyle w:val="Compact"/>
      </w:pPr>
      <w:r>
        <w:t xml:space="preserve">Recycled Portion: 90% of materials. The credit for avoided primary material production due to recycling is typically applied here. For simplicity, we assume the high recyclability and take-back program significantly mitigates the EoL burden.</w:t>
      </w:r>
    </w:p>
    <w:p>
      <w:pPr>
        <w:numPr>
          <w:ilvl w:val="0"/>
          <w:numId w:val="1017"/>
        </w:numPr>
        <w:pStyle w:val="Compact"/>
      </w:pPr>
      <w:r>
        <w:t xml:space="preserve">Non-Recycled Portion: 10% of materials = 0.93 kg * 0.10 = 0.093 kg</w:t>
      </w:r>
    </w:p>
    <w:p>
      <w:pPr>
        <w:numPr>
          <w:ilvl w:val="0"/>
          <w:numId w:val="1017"/>
        </w:numPr>
        <w:pStyle w:val="Compact"/>
      </w:pPr>
      <w:r>
        <w:t xml:space="preserve">Emissions from Non-Recycled Waste (e.g., landfill/incineration): 0.093 kg * 1.5 kg CO2e/kg = 0.1395 kg CO2e</w:t>
      </w:r>
    </w:p>
    <w:p>
      <w:pPr>
        <w:numPr>
          <w:ilvl w:val="0"/>
          <w:numId w:val="1017"/>
        </w:numPr>
        <w:pStyle w:val="Compact"/>
      </w:pPr>
      <w:r>
        <w:t xml:space="preserve">Credits from Recycling: The established take-back programs and high recyclability mean a significant portion of the material can re-enter the economy. While a precise credit would require detailed LCA data for secondary material production vs. primary, the net effect is a substantial reduction in EoL burden. For this report, the EoL burden is primarily attributed to the non-recycled portion.</w:t>
      </w:r>
    </w:p>
    <w:p>
      <w:pPr>
        <w:numPr>
          <w:ilvl w:val="0"/>
          <w:numId w:val="1017"/>
        </w:numPr>
        <w:pStyle w:val="Compact"/>
      </w:pPr>
      <w:r>
        <w:t xml:space="preserve">Total End-of-Life Emissions (Scope 3): 0.1395 kg CO2e (net burden from non-recycled waste, acknowledging significant mitigation from circular programs)</w:t>
      </w:r>
    </w:p>
    <w:bookmarkEnd w:id="40"/>
    <w:bookmarkEnd w:id="41"/>
    <w:bookmarkStart w:id="42" w:name="X5bfff41097940a31961c4db4494804084aae818"/>
    <w:p>
      <w:pPr>
        <w:pStyle w:val="Heading3"/>
      </w:pPr>
      <w:r>
        <w:t xml:space="preserve">3.3. Summary of Product Carbon Footprint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rPr>
                <w:bCs/>
                <w:b/>
              </w:rPr>
              <w:t xml:space="preserve">Scope 1</w:t>
            </w:r>
          </w:p>
        </w:tc>
        <w:tc>
          <w:tcPr/>
          <w:p>
            <w:pPr>
              <w:pStyle w:val="Compact"/>
              <w:jc w:val="left"/>
            </w:pPr>
            <w:r>
              <w:t xml:space="preserve">Direct Emissions (Not applicable in this \'factory_gate\' direct scope for hrqyorjqhi)</w:t>
            </w:r>
          </w:p>
        </w:tc>
        <w:tc>
          <w:tcPr/>
          <w:p>
            <w:pPr>
              <w:pStyle w:val="Compact"/>
              <w:jc w:val="left"/>
            </w:pPr>
            <w:r>
              <w:t xml:space="preserve">0.000</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for Production</w:t>
            </w:r>
          </w:p>
        </w:tc>
        <w:tc>
          <w:tcPr/>
          <w:p>
            <w:pPr>
              <w:pStyle w:val="Compact"/>
              <w:jc w:val="left"/>
            </w:pPr>
            <w:r>
              <w:t xml:space="preserve">0.375</w:t>
            </w:r>
          </w:p>
        </w:tc>
        <w:tc>
          <w:tcPr/>
          <w:p>
            <w:pPr>
              <w:pStyle w:val="Compact"/>
              <w:jc w:val="left"/>
            </w:pPr>
            <w:r>
              <w:t xml:space="preserve">2.06%</w:t>
            </w:r>
          </w:p>
        </w:tc>
      </w:tr>
      <w:tr>
        <w:tc>
          <w:tcPr/>
          <w:p>
            <w:pPr>
              <w:pStyle w:val="Compact"/>
              <w:jc w:val="left"/>
            </w:pPr>
            <w:r>
              <w:rPr>
                <w:bCs/>
                <w:b/>
              </w:rPr>
              <w:t xml:space="preserve">Scope 3</w:t>
            </w:r>
          </w:p>
        </w:tc>
        <w:tc>
          <w:tcPr/>
          <w:p>
            <w:pPr>
              <w:pStyle w:val="Compact"/>
              <w:jc w:val="left"/>
            </w:pPr>
            <w:r>
              <w:t xml:space="preserve">Category 1: Purchased Goods and Services (Materials)</w:t>
            </w:r>
          </w:p>
        </w:tc>
        <w:tc>
          <w:tcPr/>
          <w:p>
            <w:pPr>
              <w:pStyle w:val="Compact"/>
              <w:jc w:val="left"/>
            </w:pPr>
            <w:r>
              <w:t xml:space="preserve">4.184</w:t>
            </w:r>
          </w:p>
        </w:tc>
        <w:tc>
          <w:tcPr/>
          <w:p>
            <w:pPr>
              <w:pStyle w:val="Compact"/>
              <w:jc w:val="left"/>
            </w:pPr>
            <w:r>
              <w:t xml:space="preserve">22.97%</w:t>
            </w:r>
          </w:p>
        </w:tc>
      </w:tr>
      <w:tr>
        <w:tc>
          <w:tcPr/>
          <w:p>
            <w:pPr>
              <w:pStyle w:val="Compact"/>
              <w:jc w:val="left"/>
            </w:pPr>
            <w:r>
              <w:rPr>
                <w:bCs/>
                <w:b/>
              </w:rPr>
              <w:t xml:space="preserve">Scope 3</w:t>
            </w:r>
          </w:p>
        </w:tc>
        <w:tc>
          <w:tcPr/>
          <w:p>
            <w:pPr>
              <w:pStyle w:val="Compact"/>
              <w:jc w:val="left"/>
            </w:pPr>
            <w:r>
              <w:t xml:space="preserve">Category 4/9: Transport &amp; Distribution</w:t>
            </w:r>
          </w:p>
        </w:tc>
        <w:tc>
          <w:tcPr/>
          <w:p>
            <w:pPr>
              <w:pStyle w:val="Compact"/>
              <w:jc w:val="left"/>
            </w:pPr>
            <w:r>
              <w:t xml:space="preserve">0.272</w:t>
            </w:r>
          </w:p>
        </w:tc>
        <w:tc>
          <w:tcPr/>
          <w:p>
            <w:pPr>
              <w:pStyle w:val="Compact"/>
              <w:jc w:val="left"/>
            </w:pPr>
            <w:r>
              <w:t xml:space="preserve">1.49%</w:t>
            </w:r>
          </w:p>
        </w:tc>
      </w:tr>
      <w:tr>
        <w:tc>
          <w:tcPr/>
          <w:p>
            <w:pPr>
              <w:pStyle w:val="Compact"/>
              <w:jc w:val="left"/>
            </w:pPr>
            <w:r>
              <w:rPr>
                <w:bCs/>
                <w:b/>
              </w:rPr>
              <w:t xml:space="preserve">Scope 3</w:t>
            </w:r>
          </w:p>
        </w:tc>
        <w:tc>
          <w:tcPr/>
          <w:p>
            <w:pPr>
              <w:pStyle w:val="Compact"/>
              <w:jc w:val="left"/>
            </w:pPr>
            <w:r>
              <w:t xml:space="preserve">Category 11: Use of Sold Products</w:t>
            </w:r>
          </w:p>
        </w:tc>
        <w:tc>
          <w:tcPr/>
          <w:p>
            <w:pPr>
              <w:pStyle w:val="Compact"/>
              <w:jc w:val="left"/>
            </w:pPr>
            <w:r>
              <w:t xml:space="preserve">12.500</w:t>
            </w:r>
          </w:p>
        </w:tc>
        <w:tc>
          <w:tcPr/>
          <w:p>
            <w:pPr>
              <w:pStyle w:val="Compact"/>
              <w:jc w:val="left"/>
            </w:pPr>
            <w:r>
              <w:t xml:space="preserve">68.64%</w:t>
            </w:r>
          </w:p>
        </w:tc>
      </w:tr>
      <w:tr>
        <w:tc>
          <w:tcPr/>
          <w:p>
            <w:pPr>
              <w:pStyle w:val="Compact"/>
              <w:jc w:val="left"/>
            </w:pPr>
            <w:r>
              <w:rPr>
                <w:bCs/>
                <w:b/>
              </w:rPr>
              <w:t xml:space="preserve">Scope 3</w:t>
            </w:r>
          </w:p>
        </w:tc>
        <w:tc>
          <w:tcPr/>
          <w:p>
            <w:pPr>
              <w:pStyle w:val="Compact"/>
              <w:jc w:val="left"/>
            </w:pPr>
            <w:r>
              <w:t xml:space="preserve">Category 12: End-of-Life Treatment</w:t>
            </w:r>
          </w:p>
        </w:tc>
        <w:tc>
          <w:tcPr/>
          <w:p>
            <w:pPr>
              <w:pStyle w:val="Compact"/>
              <w:jc w:val="left"/>
            </w:pPr>
            <w:r>
              <w:t xml:space="preserve">0.140</w:t>
            </w:r>
          </w:p>
        </w:tc>
        <w:tc>
          <w:tcPr/>
          <w:p>
            <w:pPr>
              <w:pStyle w:val="Compact"/>
              <w:jc w:val="left"/>
            </w:pPr>
            <w:r>
              <w:t xml:space="preserve">0.77%</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18.271</w:t>
            </w:r>
          </w:p>
        </w:tc>
        <w:tc>
          <w:tcPr/>
          <w:p>
            <w:pPr>
              <w:pStyle w:val="Compact"/>
              <w:jc w:val="left"/>
            </w:pPr>
            <w:r>
              <w:rPr>
                <w:bCs/>
                <w:b/>
              </w:rPr>
              <w:t xml:space="preserve">100.00%</w:t>
            </w:r>
          </w:p>
        </w:tc>
      </w:tr>
    </w:tbl>
    <w:p>
      <w:pPr>
        <w:pStyle w:val="BodyText"/>
      </w:pPr>
      <w:r>
        <w:t xml:space="preserve">The total Product Carbon Footprint for one functional unit of rgeowolftw (EcoWidget X1) is</w:t>
      </w:r>
      <w:r>
        <w:t xml:space="preserve"> </w:t>
      </w:r>
      <w:r>
        <w:rPr>
          <w:bCs/>
          <w:b/>
        </w:rPr>
        <w:t xml:space="preserve">18.271 kg CO2e</w:t>
      </w:r>
      <w:r>
        <w:t xml:space="preserve">.</w:t>
      </w:r>
    </w:p>
    <w:p>
      <w:r>
        <w:pict>
          <v:rect style="width:0;height:1.5pt" o:hralign="center" o:hrstd="t" o:hr="t"/>
        </w:pict>
      </w:r>
    </w:p>
    <w:bookmarkEnd w:id="42"/>
    <w:bookmarkEnd w:id="43"/>
    <w:bookmarkStart w:id="47" w:name="review-and-reporting"/>
    <w:p>
      <w:pPr>
        <w:pStyle w:val="Heading2"/>
      </w:pPr>
      <w:r>
        <w:t xml:space="preserve">4. Review and Reporting</w:t>
      </w:r>
    </w:p>
    <w:p>
      <w:pPr>
        <w:pStyle w:val="FirstParagraph"/>
      </w:pPr>
      <w:r>
        <w:t xml:space="preserve">This section synthesizes the findings, identifies emission hotspots, and discusses the reliability of the assessment.</w:t>
      </w:r>
    </w:p>
    <w:bookmarkStart w:id="44" w:name="emission-hotspots"/>
    <w:p>
      <w:pPr>
        <w:pStyle w:val="Heading3"/>
      </w:pPr>
      <w:r>
        <w:t xml:space="preserve">4.1. Emission Hotspots</w:t>
      </w:r>
    </w:p>
    <w:p>
      <w:pPr>
        <w:pStyle w:val="FirstParagraph"/>
      </w:pPr>
      <w:r>
        <w:t xml:space="preserve">The analysis reveals the following key emission hotspots for rgeowolftw (EcoWidget X1):</w:t>
      </w:r>
    </w:p>
    <w:p>
      <w:pPr>
        <w:numPr>
          <w:ilvl w:val="0"/>
          <w:numId w:val="1018"/>
        </w:numPr>
        <w:pStyle w:val="Compact"/>
      </w:pPr>
      <w:r>
        <w:rPr>
          <w:bCs/>
          <w:b/>
        </w:rPr>
        <w:t xml:space="preserve">Use Phase (68.64%):</w:t>
      </w:r>
      <w:r>
        <w:t xml:space="preserve"> </w:t>
      </w:r>
      <w:r>
        <w:t xml:space="preserve">This is by far the largest contributor to the product\'s PCF. The energy consumption during the 5-year lifespan significantly outweighs other lifecycle stages. This highlights that while manufacturing efficiency and material choices are important, user energy consumption behavior and the energy mix of the product\'s operating regions are paramount.</w:t>
      </w:r>
    </w:p>
    <w:p>
      <w:pPr>
        <w:numPr>
          <w:ilvl w:val="0"/>
          <w:numId w:val="1018"/>
        </w:numPr>
        <w:pStyle w:val="Compact"/>
      </w:pPr>
      <w:r>
        <w:rPr>
          <w:bCs/>
          <w:b/>
        </w:rPr>
        <w:t xml:space="preserve">Purchased Goods and Services (Materials) (22.97%):</w:t>
      </w:r>
      <w:r>
        <w:t xml:space="preserve"> </w:t>
      </w:r>
      <w:r>
        <w:t xml:space="preserve">The raw materials and components used in the product contribute significantly, especially high-impact materials like silicon and aluminum, even when recycled content is used. This underscores the importance of sustainable material sourcing and design.</w:t>
      </w:r>
    </w:p>
    <w:p>
      <w:pPr>
        <w:numPr>
          <w:ilvl w:val="0"/>
          <w:numId w:val="1018"/>
        </w:numPr>
        <w:pStyle w:val="Compact"/>
      </w:pPr>
      <w:r>
        <w:rPr>
          <w:bCs/>
          <w:b/>
        </w:rPr>
        <w:t xml:space="preserve">Production (Scope 2) (2.06%):</w:t>
      </w:r>
      <w:r>
        <w:t xml:space="preserve"> </w:t>
      </w:r>
      <w:r>
        <w:t xml:space="preserve">While a notable contributor, the high percentage of renewable energy usage (75%) at the manufacturing facility has effectively mitigated what could have been a much larger footprint from this stage.</w:t>
      </w:r>
    </w:p>
    <w:p>
      <w:pPr>
        <w:numPr>
          <w:ilvl w:val="0"/>
          <w:numId w:val="1018"/>
        </w:numPr>
        <w:pStyle w:val="Compact"/>
      </w:pPr>
      <w:r>
        <w:rPr>
          <w:bCs/>
          <w:b/>
        </w:rPr>
        <w:t xml:space="preserve">Transport &amp; Distribution (1.49%) and End-of-Life (0.77%):</w:t>
      </w:r>
      <w:r>
        <w:t xml:space="preserve"> </w:t>
      </w:r>
      <w:r>
        <w:t xml:space="preserve">These stages contribute relatively less, largely due to efficient logistics (ocean freight) and strong circular economy initiatives (high recyclability, take-back programs).</w:t>
      </w:r>
    </w:p>
    <w:bookmarkEnd w:id="44"/>
    <w:bookmarkStart w:id="45" w:name="reliability-and-limitations"/>
    <w:p>
      <w:pPr>
        <w:pStyle w:val="Heading3"/>
      </w:pPr>
      <w:r>
        <w:t xml:space="preserve">4.2. Reliability and Limitations</w:t>
      </w:r>
    </w:p>
    <w:p>
      <w:pPr>
        <w:pStyle w:val="FirstParagraph"/>
      </w:pPr>
      <w:r>
        <w:t xml:space="preserve">The reliability of this PCF assessment is considered high, given the adherence to the GHG Protocol and the detailed breakdown of inputs. However, certain limitations exist:</w:t>
      </w:r>
    </w:p>
    <w:p>
      <w:pPr>
        <w:numPr>
          <w:ilvl w:val="0"/>
          <w:numId w:val="1019"/>
        </w:numPr>
        <w:pStyle w:val="Compact"/>
      </w:pPr>
      <w:r>
        <w:rPr>
          <w:bCs/>
          <w:b/>
        </w:rPr>
        <w:t xml:space="preserve">Secondary Data Reliance:</w:t>
      </w:r>
      <w:r>
        <w:t xml:space="preserve"> </w:t>
      </w:r>
      <w:r>
        <w:t xml:space="preserve">While the BOM provides specific carbon values for materials, other emission factors (e.g., electricity grids, transport modes) are based on industry averages and country-specific estimates, not direct primary data for every supplier. These factors are typically sourced from databases like Ecoinvent or government reports (e.g., DEFRA, EPA).</w:t>
      </w:r>
    </w:p>
    <w:p>
      <w:pPr>
        <w:numPr>
          <w:ilvl w:val="0"/>
          <w:numId w:val="1019"/>
        </w:numPr>
        <w:pStyle w:val="Compact"/>
      </w:pPr>
      <w:r>
        <w:rPr>
          <w:bCs/>
          <w:b/>
        </w:rPr>
        <w:t xml:space="preserve">Parameter Placeholders:</w:t>
      </w:r>
      <w:r>
        <w:t xml:space="preserve"> </w:t>
      </w:r>
      <w:r>
        <w:t xml:space="preserve">The use of literal string parameter names like `Select Mode`, `rnyknmnips`, `Delivery Type`, `jyvwovzu`, etc., as inputs required the consultant to generate illustrative data following the specified format. In a live scenario, these would be specific, measured data points.</w:t>
      </w:r>
    </w:p>
    <w:p>
      <w:pPr>
        <w:numPr>
          <w:ilvl w:val="0"/>
          <w:numId w:val="1019"/>
        </w:numPr>
        <w:pStyle w:val="Compact"/>
      </w:pPr>
      <w:r>
        <w:rPr>
          <w:bCs/>
          <w:b/>
        </w:rPr>
        <w:t xml:space="preserve">LSR Standard:</w:t>
      </w:r>
      <w:r>
        <w:t xml:space="preserve"> </w:t>
      </w:r>
      <w:r>
        <w:t xml:space="preserve">While the application of the 2026 LSR Standard is mentioned, specific land-use emissions or removals were not quantified due to a lack of explicit land-use data in the provided parameters. Further analysis would require detailed geospatial and land-management data for raw material sourcing. The accompanying guidance for the LSR Standard is expected in Q2 2026.</w:t>
      </w:r>
    </w:p>
    <w:p>
      <w:pPr>
        <w:numPr>
          <w:ilvl w:val="0"/>
          <w:numId w:val="1019"/>
        </w:numPr>
        <w:pStyle w:val="Compact"/>
      </w:pPr>
      <w:r>
        <w:rPr>
          <w:bCs/>
          <w:b/>
        </w:rPr>
        <w:t xml:space="preserve">Dynamic Nature:</w:t>
      </w:r>
      <w:r>
        <w:t xml:space="preserve"> </w:t>
      </w:r>
      <w:r>
        <w:t xml:space="preserve">Emission factors and energy mixes are constantly evolving. This report represents a snapshot based on current available data.</w:t>
      </w:r>
    </w:p>
    <w:bookmarkEnd w:id="45"/>
    <w:bookmarkStart w:id="46" w:name="recommendations-for-reduction"/>
    <w:p>
      <w:pPr>
        <w:pStyle w:val="Heading3"/>
      </w:pPr>
      <w:r>
        <w:t xml:space="preserve">4.3. Recommendations for Reduction</w:t>
      </w:r>
    </w:p>
    <w:p>
      <w:pPr>
        <w:pStyle w:val="FirstParagraph"/>
      </w:pPr>
      <w:r>
        <w:t xml:space="preserve">Based on the hotspots identified, hrqyorjqhi could focus on:</w:t>
      </w:r>
    </w:p>
    <w:p>
      <w:pPr>
        <w:numPr>
          <w:ilvl w:val="0"/>
          <w:numId w:val="1020"/>
        </w:numPr>
        <w:pStyle w:val="Compact"/>
      </w:pPr>
      <w:r>
        <w:rPr>
          <w:bCs/>
          <w:b/>
        </w:rPr>
        <w:t xml:space="preserve">Use Phase Optimization:</w:t>
      </w:r>
    </w:p>
    <w:p>
      <w:pPr>
        <w:numPr>
          <w:ilvl w:val="1"/>
          <w:numId w:val="1021"/>
        </w:numPr>
        <w:pStyle w:val="Compact"/>
      </w:pPr>
      <w:r>
        <w:t xml:space="preserve">Designing more energy-efficient products (e.g., lower power consumption in active/standby modes).</w:t>
      </w:r>
    </w:p>
    <w:p>
      <w:pPr>
        <w:numPr>
          <w:ilvl w:val="1"/>
          <w:numId w:val="1021"/>
        </w:numPr>
        <w:pStyle w:val="Compact"/>
      </w:pPr>
      <w:r>
        <w:t xml:space="preserve">Educating users on energy-saving practices.</w:t>
      </w:r>
    </w:p>
    <w:p>
      <w:pPr>
        <w:numPr>
          <w:ilvl w:val="1"/>
          <w:numId w:val="1021"/>
        </w:numPr>
        <w:pStyle w:val="Compact"/>
      </w:pPr>
      <w:r>
        <w:t xml:space="preserve">Exploring options for integrating renewable energy directly into the product\'s operation (e.g., small solar charging).</w:t>
      </w:r>
    </w:p>
    <w:p>
      <w:pPr>
        <w:numPr>
          <w:ilvl w:val="0"/>
          <w:numId w:val="1020"/>
        </w:numPr>
        <w:pStyle w:val="Compact"/>
      </w:pPr>
      <w:r>
        <w:rPr>
          <w:bCs/>
          <w:b/>
        </w:rPr>
        <w:t xml:space="preserve">Material Innovations:</w:t>
      </w:r>
    </w:p>
    <w:p>
      <w:pPr>
        <w:numPr>
          <w:ilvl w:val="1"/>
          <w:numId w:val="1022"/>
        </w:numPr>
        <w:pStyle w:val="Compact"/>
      </w:pPr>
      <w:r>
        <w:t xml:space="preserve">Further increasing the percentage of recycled and bio-based content for materials like plastics and metals.</w:t>
      </w:r>
    </w:p>
    <w:p>
      <w:pPr>
        <w:numPr>
          <w:ilvl w:val="1"/>
          <w:numId w:val="1022"/>
        </w:numPr>
        <w:pStyle w:val="Compact"/>
      </w:pPr>
      <w:r>
        <w:t xml:space="preserve">Investigating low-carbon alternatives for high-impact components, especially electronics.</w:t>
      </w:r>
    </w:p>
    <w:p>
      <w:pPr>
        <w:numPr>
          <w:ilvl w:val="1"/>
          <w:numId w:val="1022"/>
        </w:numPr>
        <w:pStyle w:val="Compact"/>
      </w:pPr>
      <w:r>
        <w:t xml:space="preserve">Engaging with suppliers to reduce upstream emissions from raw material extraction and processing.</w:t>
      </w:r>
    </w:p>
    <w:p>
      <w:pPr>
        <w:numPr>
          <w:ilvl w:val="0"/>
          <w:numId w:val="1020"/>
        </w:numPr>
        <w:pStyle w:val="Compact"/>
      </w:pPr>
      <w:r>
        <w:rPr>
          <w:bCs/>
          <w:b/>
        </w:rPr>
        <w:t xml:space="preserve">Renewable Energy Expansion:</w:t>
      </w:r>
    </w:p>
    <w:p>
      <w:pPr>
        <w:numPr>
          <w:ilvl w:val="1"/>
          <w:numId w:val="1023"/>
        </w:numPr>
        <w:pStyle w:val="Compact"/>
      </w:pPr>
      <w:r>
        <w:t xml:space="preserve">Maintaining or increasing the renewable energy procurement at manufacturing sites.</w:t>
      </w:r>
    </w:p>
    <w:p>
      <w:pPr>
        <w:numPr>
          <w:ilvl w:val="1"/>
          <w:numId w:val="1023"/>
        </w:numPr>
        <w:pStyle w:val="Compact"/>
      </w:pPr>
      <w:r>
        <w:t xml:space="preserve">Investigating opportunities for direct renewable energy generation (e.g., rooftop solar) at facilities.</w:t>
      </w:r>
    </w:p>
    <w:p>
      <w:pPr>
        <w:numPr>
          <w:ilvl w:val="0"/>
          <w:numId w:val="1020"/>
        </w:numPr>
        <w:pStyle w:val="Compact"/>
      </w:pPr>
      <w:r>
        <w:rPr>
          <w:bCs/>
          <w:b/>
        </w:rPr>
        <w:t xml:space="preserve">Circular Economy Enhancement:</w:t>
      </w:r>
    </w:p>
    <w:p>
      <w:pPr>
        <w:numPr>
          <w:ilvl w:val="1"/>
          <w:numId w:val="1024"/>
        </w:numPr>
        <w:pStyle w:val="Compact"/>
      </w:pPr>
      <w:r>
        <w:t xml:space="preserve">Continuously improving take-back logistics and refurbishment processes to maximize material recovery and product reuse.</w:t>
      </w:r>
    </w:p>
    <w:p>
      <w:pPr>
        <w:numPr>
          <w:ilvl w:val="1"/>
          <w:numId w:val="1024"/>
        </w:numPr>
        <w:pStyle w:val="Compact"/>
      </w:pPr>
      <w:r>
        <w:t xml:space="preserve">Designing for easier disassembly and repair to extend product lifespan and facilitate recycling.</w:t>
      </w:r>
    </w:p>
    <w:p>
      <w:r>
        <w:pict>
          <v:rect style="width:0;height:1.5pt" o:hralign="center" o:hrstd="t" o:hr="t"/>
        </w:pict>
      </w:r>
    </w:p>
    <w:p>
      <w:pPr>
        <w:pStyle w:val="FirstParagraph"/>
      </w:pPr>
      <w:r>
        <w:t xml:space="preserve">Confidential - Internal Use Only</w:t>
      </w:r>
    </w:p>
    <w:p>
      <w:pPr>
        <w:pStyle w:val="BodyText"/>
      </w:pPr>
      <w:r>
        <w:t xml:space="preserve">Report ID: PCF-rgeowolftw-20260601</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EcoWidget X1</dc:title>
  <dc:creator/>
  <dc:description>Detailed Product Carbon Footprint (PCF) analysis report for rgeowolftw (EcoWidget X1) by Senior Sustainability Consultant plxsgiuyey, adhering to GHG Protocol standards with a focus on supply chain emissions, use phase, and end-of-life scenarios.</dc:description>
  <dc:language>en</dc:language>
  <cp:keywords/>
  <dcterms:created xsi:type="dcterms:W3CDTF">2026-07-15T02:54:44Z</dcterms:created>
  <dcterms:modified xsi:type="dcterms:W3CDTF">2026-07-15T02:54:44Z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