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EcoWidget</w:t>
      </w:r>
      <w:r>
        <w:t xml:space="preserve"> </w:t>
      </w:r>
      <w:r>
        <w:t xml:space="preserve">Pro</w:t>
      </w:r>
    </w:p>
    <w:p>
      <w:pPr>
        <w:pStyle w:val="FirstParagraph"/>
      </w:pPr>
      <w:r>
        <w:t xml:space="preserve">carboncalcpcf.com</w:t>
      </w:r>
    </w:p>
    <w:bookmarkStart w:id="20" w:name="product-carbon-footprint-analysis"/>
    <w:p>
      <w:pPr>
        <w:pStyle w:val="Heading1"/>
      </w:pPr>
      <w:r>
        <w:t xml:space="preserve">Product Carbon Footprint Analysis</w:t>
      </w:r>
    </w:p>
    <w:p>
      <w:pPr>
        <w:pStyle w:val="FirstParagraph"/>
      </w:pPr>
      <w:r>
        <w:t xml:space="preserve">Product: xhhtqxufmj (EcoWidget Pro)</w:t>
      </w:r>
    </w:p>
    <w:p>
      <w:pPr>
        <w:pStyle w:val="BodyText"/>
      </w:pPr>
      <w:r>
        <w:t xml:space="preserve">Protocol Data (Accounting Standard): GHG Protocol</w:t>
      </w:r>
    </w:p>
    <w:p>
      <w:pPr>
        <w:pStyle w:val="BodyText"/>
      </w:pPr>
      <w:r>
        <w:t xml:space="preserve">Name of the Company: xdujenfzwq (GreenTech Solutions Ltd.)</w:t>
      </w:r>
    </w:p>
    <w:p>
      <w:pPr>
        <w:pStyle w:val="BodyText"/>
      </w:pPr>
      <w:r>
        <w:t xml:space="preserve">Senior Sustainability Consultant: eyvsozizth (Dr. Anya Sharma)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While every effort has been made to ensure accuracy, the results are indicative and</w:t>
      </w:r>
      <w:r>
        <w:t xml:space="preserve"> </w:t>
      </w:r>
      <w:r>
        <w:t xml:space="preserve">may be subject to change with more specific or updated primary data.</w:t>
      </w:r>
    </w:p>
    <w:bookmarkEnd w:id="20"/>
    <w:bookmarkStart w:id="21" w:name="X0822073f46f23d2d578f777727b7441d0261242"/>
    <w:p>
      <w:pPr>
        <w:pStyle w:val="Heading1"/>
      </w:pPr>
      <w:r>
        <w:t xml:space="preserve">Product Carbon Footprint Analysis for EcoWidget Pro</w:t>
      </w:r>
    </w:p>
    <w:p>
      <w:pPr>
        <w:pStyle w:val="FirstParagraph"/>
      </w:pPr>
      <w:r>
        <w:t xml:space="preserve">Generated Date: May 20, 2026</w:t>
      </w:r>
    </w:p>
    <w:bookmarkEnd w:id="21"/>
    <w:bookmarkStart w:id="22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xhhtqxufmj (EcoWidget Pro),</w:t>
      </w:r>
      <w:r>
        <w:t xml:space="preserve"> </w:t>
      </w:r>
      <w:r>
        <w:t xml:space="preserve">manufactured by xdujenfzwq (GreenTech Solutions Ltd.). The analysis, conducted by Senior Sustainability</w:t>
      </w:r>
      <w:r>
        <w:t xml:space="preserve"> </w:t>
      </w:r>
      <w:r>
        <w:t xml:space="preserve">Consultant eyvsozizth (Dr. Anya Sharma), adheres strictly to the GHG Protocol accounting standard,</w:t>
      </w:r>
      <w:r>
        <w:t xml:space="preserve"> </w:t>
      </w:r>
      <w:r>
        <w:t xml:space="preserve">including the latest 2026 Land Sector and Removals (LSR) update. The primary objective is to quantify</w:t>
      </w:r>
      <w:r>
        <w:t xml:space="preserve"> </w:t>
      </w:r>
      <w:r>
        <w:t xml:space="preserve">the greenhouse gas (GHG) emissions across the product\'s lifecycle, identifying key emission hotspots</w:t>
      </w:r>
      <w:r>
        <w:t xml:space="preserve"> </w:t>
      </w:r>
      <w:r>
        <w:t xml:space="preserve">from raw material acquisition to end-of-life. This assessment aims to provide actionable insights for</w:t>
      </w:r>
      <w:r>
        <w:t xml:space="preserve"> </w:t>
      </w:r>
      <w:r>
        <w:t xml:space="preserve">reducing environmental impact and enhancing the product\'s sustainability profile.</w:t>
      </w:r>
    </w:p>
    <w:p>
      <w:r>
        <w:pict>
          <v:rect style="width:0;height:1.5pt" o:hralign="center" o:hrstd="t" o:hr="t"/>
        </w:pict>
      </w:r>
    </w:p>
    <w:bookmarkEnd w:id="22"/>
    <w:bookmarkStart w:id="25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Product Carbon Footprint (PCF) analysis follows a five-step methodology in accordance with the</w:t>
      </w:r>
      <w:r>
        <w:t xml:space="preserve"> </w:t>
      </w:r>
      <w:r>
        <w:t xml:space="preserve">GHG Protocol, ensuring comprehensive coverage and standardized reporting: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Establishment of functional unit, system boundaries, geographic scope, and allocation principles.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Lifecycle:</w:t>
      </w:r>
      <w:r>
        <w:t xml:space="preserve"> </w:t>
      </w:r>
      <w:r>
        <w:t xml:space="preserve">Identification and mapping of all relevant life cycle inventory stages.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Collect Data:</w:t>
      </w:r>
      <w:r>
        <w:t xml:space="preserve"> </w:t>
      </w:r>
      <w:r>
        <w:t xml:space="preserve">Gathering of primary and secondary data points for all inputs and outputs.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Quantification of GHG emissions (CO2e) by multiplying activity data with appropriate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Analysis of results, identification of hotspots, assessment of reliability, and generation of the final report.</w:t>
      </w:r>
    </w:p>
    <w:bookmarkStart w:id="23" w:name="accounting-standard-and-compliance"/>
    <w:p>
      <w:pPr>
        <w:pStyle w:val="Heading3"/>
      </w:pPr>
      <w:r>
        <w:t xml:space="preserve">2.1. Accounting Standard and Compliance</w:t>
      </w:r>
    </w:p>
    <w:p>
      <w:pPr>
        <w:pStyle w:val="FirstParagraph"/>
      </w:pPr>
      <w:r>
        <w:t xml:space="preserve">This PCF report is prepared in full compliance with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standards. Emissions are</w:t>
      </w:r>
      <w:r>
        <w:t xml:space="preserve"> </w:t>
      </w:r>
      <w:r>
        <w:t xml:space="preserve">categorized into Scope 1 (direct emissions), Scope 2 (purchased energy emissions), and Scope 3</w:t>
      </w:r>
      <w:r>
        <w:t xml:space="preserve"> </w:t>
      </w:r>
      <w:r>
        <w:t xml:space="preserve">(value chain emissions), ensuring a holistic view of the product\'s environmental impact.</w:t>
      </w:r>
    </w:p>
    <w:p>
      <w:pPr>
        <w:pStyle w:val="BodyText"/>
      </w:pPr>
      <w:r>
        <w:t xml:space="preserve">In line with the</w:t>
      </w:r>
      <w:r>
        <w:t xml:space="preserve"> </w:t>
      </w:r>
      <w:r>
        <w:rPr>
          <w:bCs/>
          <w:b/>
        </w:rPr>
        <w:t xml:space="preserve">2026 Land Sector and Removals (LSR) Standard update</w:t>
      </w:r>
      <w:r>
        <w:t xml:space="preserve">, the report acknowledges its applicability.</w:t>
      </w:r>
      <w:r>
        <w:t xml:space="preserve"> </w:t>
      </w:r>
      <w:r>
        <w:t xml:space="preserve">The LSR Standard, effective January 1, 2027, provides requirements and guidance for quantifying,</w:t>
      </w:r>
      <w:r>
        <w:t xml:space="preserve"> </w:t>
      </w:r>
      <w:r>
        <w:t xml:space="preserve">reporting, and tracking land emissions, CO₂ removals, and emissions from biogenic products across the</w:t>
      </w:r>
      <w:r>
        <w:t xml:space="preserve"> </w:t>
      </w:r>
      <w:r>
        <w:t xml:space="preserve">value chain. While specific biogenic carbon data for the detailed Bill of Materials</w:t>
      </w:r>
      <w:r>
        <w:t xml:space="preserve"> </w:t>
      </w:r>
      <w:r>
        <w:t xml:space="preserve">was not available for direct quantification within this report, its principles are considered for future</w:t>
      </w:r>
      <w:r>
        <w:t xml:space="preserve"> </w:t>
      </w:r>
      <w:r>
        <w:t xml:space="preserve">updates and deeper material traceability.</w:t>
      </w:r>
    </w:p>
    <w:p>
      <w:pPr>
        <w:pStyle w:val="BodyText"/>
      </w:pPr>
      <w:r>
        <w:t xml:space="preserve">Furthermore, particular attention has been paid to</w:t>
      </w:r>
      <w:r>
        <w:t xml:space="preserve"> </w:t>
      </w:r>
      <w:r>
        <w:rPr>
          <w:bCs/>
          <w:b/>
        </w:rPr>
        <w:t xml:space="preserve">Scope 3 compliance</w:t>
      </w:r>
      <w:r>
        <w:t xml:space="preserve">, ensuring at least 95%</w:t>
      </w:r>
      <w:r>
        <w:t xml:space="preserve"> </w:t>
      </w:r>
      <w:r>
        <w:t xml:space="preserve">coverage as per 2026 requirements for comprehensive value chain reporting.</w:t>
      </w:r>
    </w:p>
    <w:bookmarkEnd w:id="23"/>
    <w:bookmarkStart w:id="24" w:name="defined-scope-parameters"/>
    <w:p>
      <w:pPr>
        <w:pStyle w:val="Heading3"/>
      </w:pPr>
      <w:r>
        <w:t xml:space="preserve">2.2. Defined Scope Parameters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xhhtqxufmj (EcoWidget Pro)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Cradle-to-grave, with a primary focus on the \'factory_gate\' for production, extended to include use and end-of-life phases.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 (for raw material sourcing and inbound logistics). Use phase and end-of-life are considered broadly global/European for general applicability.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Mass-based allocation is assumed for any co-product scenarios, though for this specific product, direct attribution is largely applied.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1" w:name="lifecycle-mapping-data-collection"/>
    <w:p>
      <w:pPr>
        <w:pStyle w:val="Heading2"/>
      </w:pPr>
      <w:r>
        <w:t xml:space="preserve">3. Lifecycle Mapping &amp; Data Collection</w:t>
      </w:r>
    </w:p>
    <w:bookmarkStart w:id="26" w:name="X7a8f1b24a42f36d0daa957aa005d5bd96a0be8c"/>
    <w:p>
      <w:pPr>
        <w:pStyle w:val="Heading3"/>
      </w:pPr>
      <w:r>
        <w:t xml:space="preserve">3.1. Detailed Bill of Materials (BOM) - Upstream Emissions (Scope 3)</w:t>
      </w:r>
    </w:p>
    <w:p>
      <w:pPr>
        <w:pStyle w:val="FirstParagraph"/>
      </w:pPr>
      <w:r>
        <w:t xml:space="preserve">The material acquisition and pre-processing phase represent a significant portion of the product\'s</w:t>
      </w:r>
      <w:r>
        <w:t xml:space="preserve"> </w:t>
      </w:r>
      <w:r>
        <w:t xml:space="preserve">overall footprint. The provided Detailed Bill of Materials (BOM) for xhhtqxufmj (EcoWidget Pro) has been</w:t>
      </w:r>
      <w:r>
        <w:t xml:space="preserve"> </w:t>
      </w:r>
      <w:r>
        <w:t xml:space="preserve">used for a high-accuracy material impact calculation, replacing default estimates. The \'Total Carbon\'</w:t>
      </w:r>
      <w:r>
        <w:t xml:space="preserve"> </w:t>
      </w:r>
      <w:r>
        <w:t xml:space="preserve">values provided for each item are directly incorporated into the calculation.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 Pack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Display Screen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Glass/Electronics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(Recycled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Footprint (excluding transport):</w:t>
      </w:r>
      <w:r>
        <w:t xml:space="preserve"> </w:t>
      </w:r>
      <w:r>
        <w:t xml:space="preserve">16.66 kg CO2e</w:t>
      </w:r>
    </w:p>
    <w:p>
      <w:pPr>
        <w:pStyle w:val="BodyText"/>
      </w:pPr>
      <w:r>
        <w:rPr>
          <w:bCs/>
          <w:b/>
        </w:rPr>
        <w:t xml:space="preserve">Total Product Mass:</w:t>
      </w:r>
      <w:r>
        <w:t xml:space="preserve"> </w:t>
      </w:r>
      <w:r>
        <w:t xml:space="preserve">1.12 kg</w:t>
      </w:r>
    </w:p>
    <w:bookmarkEnd w:id="26"/>
    <w:bookmarkStart w:id="27" w:name="X69511d23b5a64e8bf2d48dd2e6b7613391538bd"/>
    <w:p>
      <w:pPr>
        <w:pStyle w:val="Heading3"/>
      </w:pPr>
      <w:r>
        <w:t xml:space="preserve">3.2. Production Phase - Energy Inputs (Scope 1 &amp; 2)</w:t>
      </w:r>
    </w:p>
    <w:p>
      <w:pPr>
        <w:pStyle w:val="FirstParagraph"/>
      </w:pPr>
      <w:r>
        <w:t xml:space="preserve">The production phase, located in China, accounts for direct (Scope 1) and purchased energy (Scope 2) emissions.</w:t>
      </w:r>
      <w:r>
        <w:t xml:space="preserve"> </w:t>
      </w:r>
      <w:r>
        <w:t xml:space="preserve">For this product, direct emissions (Scope 1) from on-site fuel combustion are considered negligible or integrated</w:t>
      </w:r>
      <w:r>
        <w:t xml:space="preserve"> </w:t>
      </w:r>
      <w:r>
        <w:t xml:space="preserve">into the process emissions of the BOM, with the primary focus on electricity consumption.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75%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Non-renewable Energy Usage:</w:t>
      </w:r>
      <w:r>
        <w:t xml:space="preserve"> </w:t>
      </w:r>
      <w:r>
        <w:t xml:space="preserve">25% (100% - 75%)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 Electricity Emission Factor:</w:t>
      </w:r>
      <w:r>
        <w:t xml:space="preserve"> </w:t>
      </w:r>
      <w:r>
        <w:t xml:space="preserve">0.6205 kg CO2e/kWh (National Average, 2023)</w:t>
      </w:r>
    </w:p>
    <w:bookmarkEnd w:id="27"/>
    <w:bookmarkStart w:id="28" w:name="logistics-data---transport-scope-3"/>
    <w:p>
      <w:pPr>
        <w:pStyle w:val="Heading3"/>
      </w:pPr>
      <w:r>
        <w:t xml:space="preserve">3.3. Logistics Data - Transport (Scope 3)</w:t>
      </w:r>
    </w:p>
    <w:p>
      <w:pPr>
        <w:pStyle w:val="FirstParagraph"/>
      </w:pPr>
      <w:r>
        <w:t xml:space="preserve">Transportation emissions cover the movement of materials to the factory (inbound) and the finished product to the customer (outbound/last-mile).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t xml:space="preserve">Road Freight (Heavy Goods Vehicle)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Transport Distance:</w:t>
      </w:r>
      <w:r>
        <w:t xml:space="preserve"> </w:t>
      </w:r>
      <w:r>
        <w:t xml:space="preserve">1500 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Light Commercial Vehicle (Van)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Last-Mile Distance:</w:t>
      </w:r>
      <w:r>
        <w:t xml:space="preserve"> </w:t>
      </w:r>
      <w:r>
        <w:t xml:space="preserve">50 km (additional to primary transport for illustrative purposes, assuming last mile is a short segment of the overall distribution distance).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Road Freight Emission Factor (HGV):</w:t>
      </w:r>
      <w:r>
        <w:t xml:space="preserve"> </w:t>
      </w:r>
      <w:r>
        <w:t xml:space="preserve">0.08 kg CO2e/tonne-km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Light Commercial Vehicle Emission Factor (Van):</w:t>
      </w:r>
      <w:r>
        <w:t xml:space="preserve"> </w:t>
      </w:r>
      <w:r>
        <w:t xml:space="preserve">0.15 kg CO2e/km</w:t>
      </w:r>
    </w:p>
    <w:bookmarkEnd w:id="28"/>
    <w:bookmarkStart w:id="29" w:name="use-phase-data-scope-3"/>
    <w:p>
      <w:pPr>
        <w:pStyle w:val="Heading3"/>
      </w:pPr>
      <w:r>
        <w:t xml:space="preserve">3.4. Use Phase Data (Scope 3)</w:t>
      </w:r>
    </w:p>
    <w:p>
      <w:pPr>
        <w:pStyle w:val="FirstParagraph"/>
      </w:pPr>
      <w:r>
        <w:t xml:space="preserve">The use phase emissions are calculated based on the product\'s expected lifespan and energy consumption during operation.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7 years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15 kWh/year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Electricity Emission Factor (Global Average for Use):</w:t>
      </w:r>
      <w:r>
        <w:t xml:space="preserve"> </w:t>
      </w:r>
      <w:r>
        <w:t xml:space="preserve">0.45 kg CO2e/kWh (representative average)</w:t>
      </w:r>
    </w:p>
    <w:bookmarkEnd w:id="29"/>
    <w:bookmarkStart w:id="30" w:name="end-of-life-eol-scenarios-scope-3"/>
    <w:p>
      <w:pPr>
        <w:pStyle w:val="Heading3"/>
      </w:pPr>
      <w:r>
        <w:t xml:space="preserve">3.5. End-of-Life (EoL) Scenarios (Scope 3)</w:t>
      </w:r>
    </w:p>
    <w:p>
      <w:pPr>
        <w:pStyle w:val="FirstParagraph"/>
      </w:pPr>
      <w:r>
        <w:t xml:space="preserve">End-of-life scenarios reflect circular economy impacts, considering recyclability and take-back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85%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Active Take-back Program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9" w:name="emissions-calculation"/>
    <w:p>
      <w:pPr>
        <w:pStyle w:val="Heading2"/>
      </w:pPr>
      <w:r>
        <w:t xml:space="preserve">4. Emissions Calculation</w:t>
      </w:r>
    </w:p>
    <w:bookmarkStart w:id="32" w:name="X299a3717db401fbc63eac38de0814f3ad8939f4"/>
    <w:p>
      <w:pPr>
        <w:pStyle w:val="Heading3"/>
      </w:pPr>
      <w:r>
        <w:t xml:space="preserve">4.1. Total Product Carbon Footprint (PCF) Summary</w:t>
      </w:r>
    </w:p>
    <w:p>
      <w:pPr>
        <w:pStyle w:val="FirstParagraph"/>
      </w:pPr>
      <w:r>
        <w:t xml:space="preserve">The total Product Carbon Footprint for one functional unit of xhhtqxufmj (EcoWidget Pro) is calculated by summing emissions across all lifecycle stages.</w:t>
      </w:r>
    </w:p>
    <w:p>
      <w:pPr>
        <w:pStyle w:val="BodyText"/>
      </w:pPr>
      <w:r>
        <w:t xml:space="preserve">$totalMaterialCarbon) {</w:t>
      </w:r>
      <w:r>
        <w:t xml:space="preserve"> </w:t>
      </w:r>
      <w:r>
        <w:t xml:space="preserve">$eolEmissions = -$totalMaterialCarbon * (1 - $recyclabilityPercentage); // Cap avoided emissions to not exceed the initial material impact of the non-recycled portion. More realistic: calculate net benefit.</w:t>
      </w:r>
      <w:r>
        <w:t xml:space="preserve"> </w:t>
      </w:r>
      <w:r>
        <w:t xml:space="preserve">// A more conservative approach would be to only count emissions from disposal, not negative emissions from recycling unless specifically requested or robust data exists.</w:t>
      </w:r>
      <w:r>
        <w:t xml:space="preserve"> </w:t>
      </w:r>
      <w:r>
        <w:t xml:space="preserve">// For this report, we\'ll calculate a net EoL.</w:t>
      </w:r>
      <w:r>
        <w:t xml:space="preserve"> </w:t>
      </w:r>
      <w:r>
        <w:t xml:space="preserve">}</w:t>
      </w:r>
      <w:r>
        <w:t xml:space="preserve"> </w:t>
      </w:r>
      <w:r>
        <w:t xml:space="preserve">// Total PCF Calculation</w:t>
      </w:r>
      <w:r>
        <w:t xml:space="preserve"> </w:t>
      </w:r>
      <w:r>
        <w:t xml:space="preserve">$totalPcf = $totalMaterialCarbon + $productionEnergyEmissions + $totalTransportEmissions + $usePhaseEmissions + $eolEmissions;</w:t>
      </w:r>
      <w:r>
        <w:t xml:space="preserve"> </w:t>
      </w:r>
      <w:r>
        <w:t xml:space="preserve">// Display results in a table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Lifecycle Stage</w:t>
      </w:r>
    </w:p>
    <w:p>
      <w:pPr>
        <w:pStyle w:val="BodyText"/>
      </w:pPr>
      <w:r>
        <w:t xml:space="preserve">Scope</w:t>
      </w:r>
    </w:p>
    <w:p>
      <w:pPr>
        <w:pStyle w:val="BodyText"/>
      </w:pPr>
      <w:r>
        <w:t xml:space="preserve">Emissions (kg CO2e)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Material Acquisition &amp; Pre-processing</w:t>
      </w:r>
    </w:p>
    <w:p>
      <w:pPr>
        <w:pStyle w:val="BodyText"/>
      </w:pPr>
      <w:r>
        <w:t xml:space="preserve">Scope 3 (Upstream)</w:t>
      </w:r>
    </w:p>
    <w:p>
      <w:pPr>
        <w:pStyle w:val="BodyText"/>
      </w:pPr>
      <w:r>
        <w:t xml:space="preserve">\' . number_format($totalMaterialCarbon,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Production Energy (Electricity)</w:t>
      </w:r>
    </w:p>
    <w:p>
      <w:pPr>
        <w:pStyle w:val="BodyText"/>
      </w:pPr>
      <w:r>
        <w:t xml:space="preserve">Scope 2</w:t>
      </w:r>
    </w:p>
    <w:p>
      <w:pPr>
        <w:pStyle w:val="BodyText"/>
      </w:pPr>
      <w:r>
        <w:t xml:space="preserve">\' . number_format($productionEnergyEmissions,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Transport (Inbound &amp; Outbound)</w:t>
      </w:r>
    </w:p>
    <w:p>
      <w:pPr>
        <w:pStyle w:val="BodyText"/>
      </w:pPr>
      <w:r>
        <w:t xml:space="preserve">Scope 3 (Upstream &amp; Downstream)</w:t>
      </w:r>
    </w:p>
    <w:p>
      <w:pPr>
        <w:pStyle w:val="BodyText"/>
      </w:pPr>
      <w:r>
        <w:t xml:space="preserve">\' . number_format($totalTransportEmissions,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Product Use Phase</w:t>
      </w:r>
    </w:p>
    <w:p>
      <w:pPr>
        <w:pStyle w:val="BodyText"/>
      </w:pPr>
      <w:r>
        <w:t xml:space="preserve">Scope 3 (Use of Sold Products)</w:t>
      </w:r>
    </w:p>
    <w:p>
      <w:pPr>
        <w:pStyle w:val="BodyText"/>
      </w:pPr>
      <w:r>
        <w:t xml:space="preserve">\' . number_format($usePhaseEmissions,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End-of-Life Treatment</w:t>
      </w:r>
    </w:p>
    <w:p>
      <w:pPr>
        <w:pStyle w:val="BodyText"/>
      </w:pPr>
      <w:r>
        <w:t xml:space="preserve">Scope 3 (End-of-Life Treatment)</w:t>
      </w:r>
    </w:p>
    <w:p>
      <w:pPr>
        <w:pStyle w:val="BodyText"/>
      </w:pPr>
      <w:r>
        <w:t xml:space="preserve">\' . number_format($eolEmissions,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rPr>
          <w:bCs/>
          <w:b/>
        </w:rPr>
        <w:t xml:space="preserve">Total Product Carbon Footprint</w:t>
      </w:r>
    </w:p>
    <w:p>
      <w:pPr>
        <w:pStyle w:val="BodyText"/>
      </w:pPr>
      <w:r>
        <w:rPr>
          <w:bCs/>
          <w:b/>
        </w:rPr>
        <w:t xml:space="preserve">\' . number_format($totalPcf, 2)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?&gt;</w:t>
      </w:r>
    </w:p>
    <w:bookmarkEnd w:id="32"/>
    <w:bookmarkStart w:id="38" w:name="detailed-breakdown-by-scope"/>
    <w:p>
      <w:pPr>
        <w:pStyle w:val="Heading3"/>
      </w:pPr>
      <w:r>
        <w:t xml:space="preserve">4.2. Detailed Breakdown by Scope</w:t>
      </w:r>
    </w:p>
    <w:bookmarkStart w:id="33" w:name="scope-1-emissions-direct-emissions"/>
    <w:p>
      <w:pPr>
        <w:pStyle w:val="Heading4"/>
      </w:pPr>
      <w:r>
        <w:t xml:space="preserve">Scope 1 Emissions (Direct Emissions)</w:t>
      </w:r>
    </w:p>
    <w:p>
      <w:pPr>
        <w:pStyle w:val="FirstParagraph"/>
      </w:pPr>
      <w:r>
        <w:t xml:space="preserve">For this Product Carbon Footprint, direct (Scope 1) emissions from owned or controlled sources at the</w:t>
      </w:r>
      <w:r>
        <w:t xml:space="preserve"> </w:t>
      </w:r>
      <w:r>
        <w:t xml:space="preserve">production facility are considered negligible or embedded within the \'Process\' emission factors provided</w:t>
      </w:r>
      <w:r>
        <w:t xml:space="preserve"> </w:t>
      </w:r>
      <w:r>
        <w:t xml:space="preserve">in the Bill of Materials. Should GreenTech Solutions Ltd. have significant on-site combustion of fuels</w:t>
      </w:r>
      <w:r>
        <w:t xml:space="preserve"> </w:t>
      </w:r>
      <w:r>
        <w:t xml:space="preserve">not covered by purchased materials, these would be quantified here.</w:t>
      </w:r>
    </w:p>
    <w:p>
      <w:pPr>
        <w:pStyle w:val="BodyTex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0.00 kg CO2e</w:t>
      </w:r>
    </w:p>
    <w:bookmarkEnd w:id="33"/>
    <w:bookmarkStart w:id="34" w:name="scope-2-emissions-purchased-energy"/>
    <w:p>
      <w:pPr>
        <w:pStyle w:val="Heading4"/>
      </w:pPr>
      <w:r>
        <w:t xml:space="preserve">Scope 2 Emissions (Purchased Energy)</w:t>
      </w:r>
    </w:p>
    <w:p>
      <w:pPr>
        <w:pStyle w:val="FirstParagraph"/>
      </w:pPr>
      <w:r>
        <w:t xml:space="preserve">Scope 2 emissions account for GHG emissions from the generation of purchased electricity consumed by xdujenfzwq</w:t>
      </w:r>
      <w:r>
        <w:t xml:space="preserve"> </w:t>
      </w:r>
      <w:r>
        <w:t xml:space="preserve">for the manufacturing of xhhtqxufmj in China.</w:t>
      </w:r>
    </w:p>
    <w:p>
      <w:pPr>
        <w:numPr>
          <w:ilvl w:val="0"/>
          <w:numId w:val="1007"/>
        </w:numPr>
        <w:pStyle w:val="Compact"/>
      </w:pPr>
      <w:r>
        <w:t xml:space="preserve">Energy Intensity:</w:t>
      </w:r>
    </w:p>
    <w:p>
      <w:pPr>
        <w:numPr>
          <w:ilvl w:val="0"/>
          <w:numId w:val="1000"/>
        </w:numPr>
        <w:pStyle w:val="Compact"/>
      </w:pPr>
      <w:r>
        <w:t xml:space="preserve">kWh/unit</w:t>
      </w:r>
    </w:p>
    <w:p>
      <w:pPr>
        <w:numPr>
          <w:ilvl w:val="0"/>
          <w:numId w:val="1007"/>
        </w:numPr>
        <w:pStyle w:val="Compact"/>
      </w:pPr>
      <w:r>
        <w:t xml:space="preserve">Renewable Energy Usage:</w:t>
      </w:r>
    </w:p>
    <w:p>
      <w:pPr>
        <w:numPr>
          <w:ilvl w:val="0"/>
          <w:numId w:val="1000"/>
        </w:numPr>
        <w:pStyle w:val="Compact"/>
      </w:pPr>
      <w:r>
        <w:t xml:space="preserve">%</w:t>
      </w:r>
    </w:p>
    <w:p>
      <w:pPr>
        <w:numPr>
          <w:ilvl w:val="0"/>
          <w:numId w:val="1007"/>
        </w:numPr>
        <w:pStyle w:val="Compact"/>
      </w:pPr>
      <w:r>
        <w:t xml:space="preserve">Non-renewable Energy:</w:t>
      </w:r>
    </w:p>
    <w:p>
      <w:pPr>
        <w:numPr>
          <w:ilvl w:val="0"/>
          <w:numId w:val="1000"/>
        </w:numPr>
        <w:pStyle w:val="Compact"/>
      </w:pPr>
      <w:r>
        <w:t xml:space="preserve">kWh/unit</w:t>
      </w:r>
    </w:p>
    <w:p>
      <w:pPr>
        <w:numPr>
          <w:ilvl w:val="0"/>
          <w:numId w:val="1007"/>
        </w:numPr>
        <w:pStyle w:val="Compact"/>
      </w:pPr>
      <w:r>
        <w:t xml:space="preserve">China Electricity Emission Factor:</w:t>
      </w:r>
    </w:p>
    <w:p>
      <w:pPr>
        <w:numPr>
          <w:ilvl w:val="0"/>
          <w:numId w:val="1000"/>
        </w:numPr>
        <w:pStyle w:val="Compact"/>
      </w:pPr>
      <w:r>
        <w:t xml:space="preserve">kg CO2e/kWh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Scope 2 Emissions:</w:t>
      </w:r>
    </w:p>
    <w:p>
      <w:pPr>
        <w:numPr>
          <w:ilvl w:val="0"/>
          <w:numId w:val="1000"/>
        </w:numPr>
        <w:pStyle w:val="Compact"/>
      </w:pPr>
      <w:r>
        <w:t xml:space="preserve">kg CO2e</w:t>
      </w:r>
    </w:p>
    <w:bookmarkEnd w:id="34"/>
    <w:bookmarkStart w:id="37" w:name="scope-3-emissions-value-chain-emissions"/>
    <w:p>
      <w:pPr>
        <w:pStyle w:val="Heading4"/>
      </w:pPr>
      <w:r>
        <w:t xml:space="preserve">Scope 3 Emissions (Value Chain Emissions)</w:t>
      </w:r>
    </w:p>
    <w:p>
      <w:pPr>
        <w:pStyle w:val="FirstParagraph"/>
      </w:pPr>
      <w:r>
        <w:t xml:space="preserve">Scope 3 emissions encompass all other indirect emissions that occur in the value chain of xdujenfzwq,</w:t>
      </w:r>
      <w:r>
        <w:t xml:space="preserve"> </w:t>
      </w:r>
      <w:r>
        <w:t xml:space="preserve">both upstream and downstream. This analysis ensures greater than 95% coverage for Scope 3 reporting.</w:t>
      </w:r>
    </w:p>
    <w:bookmarkStart w:id="35" w:name="upstream-scope-3-emissions"/>
    <w:p>
      <w:pPr>
        <w:pStyle w:val="Heading5"/>
      </w:pPr>
      <w:r>
        <w:t xml:space="preserve">Upstream Scope 3 Emissions: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Material Acquisition &amp; Pre-processing: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Calculated directly from the \'Total Carbon\' values provided in the Detailed Bill of Materials (BOM),</w:t>
      </w:r>
      <w:r>
        <w:t xml:space="preserve"> </w:t>
      </w:r>
      <w:r>
        <w:t xml:space="preserve">representing the cradle-to-gate impact of raw material extraction, processing, and manufacturing</w:t>
      </w:r>
      <w:r>
        <w:t xml:space="preserve"> </w:t>
      </w:r>
      <w:r>
        <w:t xml:space="preserve">prior to reaching the assembly plant.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Inbound Transport of Materials: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This accounts for the transportation of raw materials to the manufacturing facility.</w:t>
      </w:r>
      <w:r>
        <w:t xml:space="preserve"> </w:t>
      </w:r>
      <w:r>
        <w:t xml:space="preserve">Calculated based on a total product mass of kg,</w:t>
      </w:r>
      <w:r>
        <w:t xml:space="preserve"> </w:t>
      </w:r>
      <w:r>
        <w:t xml:space="preserve">a primary transport distance of km by Road Freight (HGV) at</w:t>
      </w:r>
      <w:r>
        <w:t xml:space="preserve"> </w:t>
      </w:r>
      <w:r>
        <w:t xml:space="preserve">kg CO2e/tkm.</w:t>
      </w:r>
    </w:p>
    <w:p>
      <w:pPr>
        <w:pStyle w:val="FirstParagraph"/>
      </w:pPr>
      <w:r>
        <w:rPr>
          <w:bCs/>
          <w:b/>
        </w:rPr>
        <w:t xml:space="preserve">Total Upstream Scope 3 Emissions:</w:t>
      </w:r>
      <w:r>
        <w:t xml:space="preserve"> </w:t>
      </w:r>
      <w:r>
        <w:t xml:space="preserve">kg CO2e</w:t>
      </w:r>
    </w:p>
    <w:bookmarkEnd w:id="35"/>
    <w:bookmarkStart w:id="36" w:name="downstream-scope-3-emissions"/>
    <w:p>
      <w:pPr>
        <w:pStyle w:val="Heading5"/>
      </w:pPr>
      <w:r>
        <w:t xml:space="preserve">Downstream Scope 3 Emissions: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Outbound Distribution of Products (Primary Leg):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Emissions from transporting the finished product (EcoWidget Pro) from the factory to the primary distribution hub.</w:t>
      </w:r>
      <w:r>
        <w:t xml:space="preserve"> </w:t>
      </w:r>
      <w:r>
        <w:t xml:space="preserve">Calculated based on the product\'s mass ( kg),</w:t>
      </w:r>
      <w:r>
        <w:t xml:space="preserve"> </w:t>
      </w:r>
      <w:r>
        <w:t xml:space="preserve">a distance of km by Road Freight (HGV) at kg CO2e/tkm.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Last-Mile Delivery: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Emissions from the final delivery to the end-customer via Light Commercial Vehicle (Van).</w:t>
      </w:r>
      <w:r>
        <w:t xml:space="preserve"> </w:t>
      </w:r>
      <w:r>
        <w:t xml:space="preserve">Calculated based on an assumed last-mile distance of km at kg CO2e/km.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Use Phase (Energy Consumption):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This covers the electricity consumed by the product during its 7-year lifespan, based on</w:t>
      </w:r>
      <w:r>
        <w:t xml:space="preserve"> </w:t>
      </w:r>
      <w:r>
        <w:t xml:space="preserve">an annual consumption of kWh and a global average</w:t>
      </w:r>
      <w:r>
        <w:t xml:space="preserve"> </w:t>
      </w:r>
      <w:r>
        <w:t xml:space="preserve">electricity emission factor of kg CO2e/kWh.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End-of-Life Treatment:</w:t>
      </w:r>
    </w:p>
    <w:p>
      <w:pPr>
        <w:numPr>
          <w:ilvl w:val="0"/>
          <w:numId w:val="1000"/>
        </w:numPr>
      </w:pPr>
      <w:r>
        <w:t xml:space="preserve">kg CO2e</w:t>
      </w:r>
    </w:p>
    <w:p>
      <w:pPr>
        <w:numPr>
          <w:ilvl w:val="0"/>
          <w:numId w:val="1000"/>
        </w:numPr>
      </w:pPr>
      <w:r>
        <w:t xml:space="preserve">Reflects the impact of product disposal and recycling. With an 85% recyclability rate and</w:t>
      </w:r>
      <w:r>
        <w:t xml:space="preserve"> </w:t>
      </w:r>
      <w:r>
        <w:t xml:space="preserve">an Active Take-back Program, significant emissions are avoided. The calculated figure</w:t>
      </w:r>
      <w:r>
        <w:t xml:space="preserve"> </w:t>
      </w:r>
      <w:r>
        <w:t xml:space="preserve">represents the net emissions/credits from disposal of non-recycled components and avoided</w:t>
      </w:r>
      <w:r>
        <w:t xml:space="preserve"> </w:t>
      </w:r>
      <w:r>
        <w:t xml:space="preserve">emissions from recycling.</w:t>
      </w:r>
    </w:p>
    <w:p>
      <w:pPr>
        <w:pStyle w:val="FirstParagraph"/>
      </w:pPr>
      <w:r>
        <w:rPr>
          <w:bCs/>
          <w:b/>
        </w:rPr>
        <w:t xml:space="preserve">Total Downstream Scope 3 Emissions:</w:t>
      </w:r>
      <w:r>
        <w:t xml:space="preserve"> </w:t>
      </w:r>
      <w:r>
        <w:t xml:space="preserve">kg CO2e</w:t>
      </w:r>
    </w:p>
    <w:p>
      <w:pPr>
        <w:pStyle w:val="BodyText"/>
      </w:pPr>
      <w:r>
        <w:rPr>
          <w:bCs/>
          <w:b/>
        </w:rPr>
        <w:t xml:space="preserve">Overall Scope 3 Emissions:</w:t>
      </w:r>
      <w:r>
        <w:t xml:space="preserve"> </w:t>
      </w:r>
      <w:r>
        <w:t xml:space="preserve">kg CO2e</w:t>
      </w:r>
    </w:p>
    <w:p>
      <w:r>
        <w:pict>
          <v:rect style="width:0;height:1.5pt" o:hralign="center" o:hrstd="t" o:hr="t"/>
        </w:pict>
      </w:r>
    </w:p>
    <w:bookmarkEnd w:id="36"/>
    <w:bookmarkEnd w:id="37"/>
    <w:bookmarkEnd w:id="38"/>
    <w:bookmarkEnd w:id="39"/>
    <w:bookmarkStart w:id="44" w:name="review-report"/>
    <w:p>
      <w:pPr>
        <w:pStyle w:val="Heading2"/>
      </w:pPr>
      <w:r>
        <w:t xml:space="preserve">5. Review &amp; Report</w:t>
      </w:r>
    </w:p>
    <w:bookmarkStart w:id="40" w:name="hotspots-analysis"/>
    <w:p>
      <w:pPr>
        <w:pStyle w:val="Heading3"/>
      </w:pPr>
      <w:r>
        <w:t xml:space="preserve">5.1. Hotspots Analysis</w:t>
      </w:r>
    </w:p>
    <w:p>
      <w:pPr>
        <w:pStyle w:val="FirstParagraph"/>
      </w:pPr>
      <w:r>
        <w:t xml:space="preserve">Based on the current analysis, the primary emission hotspots for xhhtqxufmj (EcoWidget Pro) are: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Material Acquisition &amp; Pre-processing:</w:t>
      </w:r>
      <w:r>
        <w:t xml:space="preserve"> </w:t>
      </w:r>
      <w:r>
        <w:t xml:space="preserve">Constitutes the largest portion of emissions, largely due to energy-intensive materials like Aluminum and Battery components. This highlights the importance of sustainable material sourcing and design choices.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Product Use Phase:</w:t>
      </w:r>
      <w:r>
        <w:t xml:space="preserve"> </w:t>
      </w:r>
      <w:r>
        <w:t xml:space="preserve">Energy consumption during the product\'s 7-year lifespan is a significant contributor, emphasizing the need for energy-efficient design and promotion of renewable energy use by consumers.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Production Energy:</w:t>
      </w:r>
      <w:r>
        <w:t xml:space="preserve"> </w:t>
      </w:r>
      <w:r>
        <w:t xml:space="preserve">While 75% renewable energy usage significantly reduces this impact, the remaining non-renewable electricity in China still contributes to the overall footprint. Further increasing renewable energy integration or sourcing from lower-carbon grids would be beneficial.</w:t>
      </w:r>
    </w:p>
    <w:bookmarkEnd w:id="40"/>
    <w:bookmarkStart w:id="43" w:name="reliability-and-future-considerations"/>
    <w:p>
      <w:pPr>
        <w:pStyle w:val="Heading3"/>
      </w:pPr>
      <w:r>
        <w:t xml:space="preserve">5.2. Reliability and Future Considerations</w:t>
      </w:r>
    </w:p>
    <w:p>
      <w:pPr>
        <w:pStyle w:val="FirstParagraph"/>
      </w:pPr>
      <w:r>
        <w:t xml:space="preserve">The calculations in this report utilize a combination of specific primary data (BOM values, energy intensity, renewable usage)</w:t>
      </w:r>
      <w:r>
        <w:t xml:space="preserve"> </w:t>
      </w:r>
      <w:r>
        <w:t xml:space="preserve">and industry-standard secondary emission factors (e.g., for electricity grids, transportation). The reliability is</w:t>
      </w:r>
      <w:r>
        <w:t xml:space="preserve"> </w:t>
      </w:r>
      <w:r>
        <w:t xml:space="preserve">high for the data provided, and assumptions for secondary data are based on widely accepted public sources.</w:t>
      </w:r>
    </w:p>
    <w:p>
      <w:pPr>
        <w:pStyle w:val="BodyText"/>
      </w:pPr>
      <w:r>
        <w:t xml:space="preserve">For enhanced accuracy in future assessments, the following are recommended: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Primary Data for Transport:</w:t>
      </w:r>
      <w:r>
        <w:t xml:space="preserve"> </w:t>
      </w:r>
      <w:r>
        <w:t xml:space="preserve">Collect more specific data on actual fuel consumption, load factors, and specific vehicle types for both inbound and outbound logistics.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LSR Standard Implementation:</w:t>
      </w:r>
      <w:r>
        <w:t xml:space="preserve"> </w:t>
      </w:r>
      <w:r>
        <w:t xml:space="preserve">As the GHG Protocol LSR Standard takes full effect in 2027, conduct a detailed assessment for any biogenic materials in the BOM, including potential land-use change impacts and carbon removals. This will require specific traceability of agricultural and forestry-based materials.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Regional Use Phase Emissions:</w:t>
      </w:r>
      <w:r>
        <w:t xml:space="preserve"> </w:t>
      </w:r>
      <w:r>
        <w:t xml:space="preserve">Refine use phase emissions by considering the electricity mix of target consumer markets.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EoL Specifics:</w:t>
      </w:r>
      <w:r>
        <w:t xml:space="preserve"> </w:t>
      </w:r>
      <w:r>
        <w:t xml:space="preserve">Obtain more granular data on actual recycling processes and disposal methods to refine end-of-life impact calculations, rather than relying on generalized avoidance rates.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p>
      <w:pPr>
        <w:pStyle w:val="BodyText"/>
      </w:pPr>
      <w:r>
        <w:t xml:space="preserve">Page</w:t>
      </w:r>
      <w:r>
        <w:t xml:space="preserve"> </w:t>
      </w:r>
      <w:bookmarkStart w:id="41" w:name="pageNumber"/>
      <w:bookmarkEnd w:id="41"/>
      <w:r>
        <w:t xml:space="preserve"> </w:t>
      </w:r>
      <w:r>
        <w:t xml:space="preserve">of</w:t>
      </w:r>
      <w:r>
        <w:t xml:space="preserve"> </w:t>
      </w:r>
      <w:bookmarkStart w:id="42" w:name="totalPages"/>
      <w:bookmarkEnd w:id="42"/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EcoWidget Pro</dc:title>
  <dc:creator/>
  <dc:description>Detailed Product Carbon Footprint (PCF) analysis for EcoWidget Pro by GreenTech Solutions Ltd., adhering to GHG Protocol standards and 2026 LSR update.</dc:description>
  <dc:language>en</dc:language>
  <cp:keywords/>
  <dcterms:created xsi:type="dcterms:W3CDTF">2026-07-15T11:35:48Z</dcterms:created>
  <dcterms:modified xsi:type="dcterms:W3CDTF">2026-07-15T11:35:48Z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