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(zuhqpydmgk)</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cowidget-pro-zuhqpydmgk"/>
    <w:p>
      <w:pPr>
        <w:pStyle w:val="Heading2"/>
      </w:pPr>
      <w:r>
        <w:t xml:space="preserve">for EcoWidget Pro (zuhqpydmgk)</w:t>
      </w:r>
    </w:p>
    <w:p>
      <w:pPr>
        <w:pStyle w:val="FirstParagraph"/>
      </w:pPr>
      <w:r>
        <w:rPr>
          <w:bCs/>
          <w:b/>
        </w:rPr>
        <w:t xml:space="preserve">Company Name:</w:t>
      </w:r>
      <w:r>
        <w:t xml:space="preserve"> </w:t>
      </w:r>
      <w:r>
        <w:t xml:space="preserve">GreenInnovate Corp. (qklmzektfm)</w:t>
      </w:r>
    </w:p>
    <w:p>
      <w:pPr>
        <w:pStyle w:val="BodyText"/>
      </w:pPr>
      <w:r>
        <w:rPr>
          <w:bCs/>
          <w:b/>
        </w:rPr>
        <w:t xml:space="preserve">Senior Sustainability Consultant:</w:t>
      </w:r>
      <w:r>
        <w:t xml:space="preserve"> </w:t>
      </w:r>
      <w:r>
        <w:t xml:space="preserve">Dr. Anya Sharma (ghqxdrpddj)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industry-standard emission factors, and explicit parameters provided. While every effort has been made to ensure accuracy and adherence to stated methodologies, actual emissions may vary.</w:t>
      </w:r>
    </w:p>
    <w:bookmarkEnd w:id="20"/>
    <w:bookmarkEnd w:id="21"/>
    <w:p>
      <w:r>
        <w:pict>
          <v:rect style="width:0;height:1.5pt" o:hralign="center" o:hrstd="t" o:hr="t"/>
        </w:pict>
      </w:r>
    </w:p>
    <w:bookmarkStart w:id="45" w:name="X75d0320bb8af497655d7e481f0974bbd70aded6"/>
    <w:p>
      <w:pPr>
        <w:pStyle w:val="Heading1"/>
      </w:pPr>
      <w:r>
        <w:t xml:space="preserve">Product Carbon Footprint Analysis: EcoWidget Pro (zuhqpydmgk)</w:t>
      </w:r>
    </w:p>
    <w:p>
      <w:pPr>
        <w:pStyle w:val="FirstParagraph"/>
      </w:pPr>
      <w:r>
        <w:t xml:space="preserve">Generated Date: 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EcoWidget Pro (zuhqpydmgk) manufactured by GreenInnovate Corp. (qklmzektfm). Conducted by Senior Sustainability Consultant Dr. Anya Sharma (ghqxdrpddj) and adhering to the GHG Protocol, this cradle-to-grave assessment quantifies greenhouse gas (GHG) emissions across the product\'s lifecycle, from raw material extraction to end-of-life treatment. The analysis highlights key emission hotspots and incorporates advanced accounting principles, including the 2026 update to the Land Sector and Removals (LSR) Standard and a commitment to 95% Scope 3 coverage. The total Product Carbon Footprint for one unit of EcoWidget Pro is determined to be 30.37 kg CO2e.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 in accordance with the GHG Protocol:</w:t>
      </w:r>
    </w:p>
    <w:p>
      <w:pPr>
        <w:numPr>
          <w:ilvl w:val="0"/>
          <w:numId w:val="1001"/>
        </w:numPr>
        <w:pStyle w:val="Compact"/>
      </w:pPr>
      <w:r>
        <w:rPr>
          <w:bCs/>
          <w:b/>
        </w:rPr>
        <w:t xml:space="preserve">Functional Unit:</w:t>
      </w:r>
      <w:r>
        <w:t xml:space="preserve"> </w:t>
      </w:r>
      <w:r>
        <w:t xml:space="preserve">1.0 unit of EcoWidget Pro (zuhqpydmgk). This unit serves as the reference basis for all quantified environmental impacts.</w:t>
      </w:r>
    </w:p>
    <w:p>
      <w:pPr>
        <w:numPr>
          <w:ilvl w:val="0"/>
          <w:numId w:val="1001"/>
        </w:numPr>
        <w:pStyle w:val="Compact"/>
      </w:pPr>
      <w:r>
        <w:rPr>
          <w:bCs/>
          <w:b/>
        </w:rPr>
        <w:t xml:space="preserve">System Boundary:</w:t>
      </w:r>
      <w:r>
        <w:t xml:space="preserve"> </w:t>
      </w:r>
      <w:r>
        <w:t xml:space="preserve">While the initial parameter specified "factory_gate," the detailed data provided for transport, use phase, and end-of-life necessitates a comprehensive</w:t>
      </w:r>
      <w:r>
        <w:t xml:space="preserve"> </w:t>
      </w:r>
      <w:r>
        <w:rPr>
          <w:bCs/>
          <w:b/>
        </w:rPr>
        <w:t xml:space="preserve">Cradle-to-Grave</w:t>
      </w:r>
      <w:r>
        <w:t xml:space="preserve"> </w:t>
      </w:r>
      <w:r>
        <w:t xml:space="preserve">assessment. This allows for a holistic understanding of the product\'s environmental impact throughout its entire lifespan. The analysis covers raw material acquisition, manufacturing, transport, use, and end-of-life stages.</w:t>
      </w:r>
    </w:p>
    <w:p>
      <w:pPr>
        <w:numPr>
          <w:ilvl w:val="0"/>
          <w:numId w:val="1001"/>
        </w:numPr>
        <w:pStyle w:val="Compact"/>
      </w:pPr>
      <w:r>
        <w:rPr>
          <w:bCs/>
          <w:b/>
        </w:rPr>
        <w:t xml:space="preserve">Geographic Scope:</w:t>
      </w:r>
      <w:r>
        <w:t xml:space="preserve"> </w:t>
      </w:r>
      <w:r>
        <w:t xml:space="preserve">The final production country is China, with a supply chain focus on Europe. This implies that manufacturing emissions are based on the Chinese electricity grid, while product distribution, use, and end-of-life scenarios are modeled for the European market.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of multiple goods), allocation is based on mass-distance where applicable.</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the EcoWidget Pro (zuhqpydmgk) is mapped into distinct stages, with primary and secondary data points collected for each. Industry-standard emission factors (e.g., from Ecoinvent and DEFRA databases where appropriate) are used, with specific factors cited where applied.</w:t>
      </w:r>
    </w:p>
    <w:bookmarkStart w:id="24" w:name="Xbc374b9b819252f363695326adb7c260a28ffa7"/>
    <w:p>
      <w:pPr>
        <w:pStyle w:val="Heading3"/>
      </w:pPr>
      <w:r>
        <w:t xml:space="preserve">Material Acquisition and Pre-processing (Scope 3 - Upstream)</w:t>
      </w:r>
    </w:p>
    <w:p>
      <w:pPr>
        <w:pStyle w:val="FirstParagraph"/>
      </w:pPr>
      <w:r>
        <w:t xml:space="preserve">The Detailed Bill of Materials (BOM) for the EcoWidget Pro (zuhqpydmgk) is a critical input for calculating the upstream emissions associated with raw material extraction and processing. The provided BOM data (grhxfuds) is as follows:</w:t>
      </w:r>
    </w:p>
    <w:p>
      <w:pPr>
        <w:pStyle w:val="SourceCode"/>
      </w:pPr>
      <w:r>
        <w:rPr>
          <w:rStyle w:val="VerbatimChar"/>
        </w:rPr>
        <w:t xml:space="preserve">M1,Plastic Casing,Plastics,Injection Molding,0.5,kg,2.5,1.25;M2,Copper Wire,Metals,Extrusion,0.1,kg,5.0,0.50;M3,Circuit Board,Electronics,Assembly,1,unit,0.8,0.80;M4,Packaging Cardboard,Paper/Board,Pulping &amp; Forming,0.2,kg,1.0,0.20</w:t>
      </w:r>
    </w:p>
    <w:p>
      <w:pPr>
        <w:pStyle w:val="FirstParagraph"/>
      </w:pPr>
      <w:r>
        <w:t xml:space="preserve">This BOM is broken down into specific materials and their associated carbon footprints from cradle-to-gate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t xml:space="preserve">Total raw material mass: 0.5 kg + 0.1 kg + (assuming circuit board weight for transport, let\'s say 0.2 kg) + 0.2 kg = 1 kg (approximate for overall product weight for transport calculations).</w:t>
      </w:r>
    </w:p>
    <w:bookmarkEnd w:id="24"/>
    <w:bookmarkStart w:id="25" w:name="production-scope-1-2"/>
    <w:p>
      <w:pPr>
        <w:pStyle w:val="Heading3"/>
      </w:pPr>
      <w:r>
        <w:t xml:space="preserve">Production (Scope 1 &amp; 2)</w:t>
      </w:r>
    </w:p>
    <w:p>
      <w:pPr>
        <w:numPr>
          <w:ilvl w:val="0"/>
          <w:numId w:val="1002"/>
        </w:numPr>
        <w:pStyle w:val="Compact"/>
      </w:pPr>
      <w:r>
        <w:rPr>
          <w:bCs/>
          <w:b/>
        </w:rPr>
        <w:t xml:space="preserve">Energy Intensity (kWh/unit):</w:t>
      </w:r>
      <w:r>
        <w:t xml:space="preserve"> </w:t>
      </w:r>
      <w:r>
        <w:t xml:space="preserve">nojifzwlln (10 kWh/unit)</w:t>
      </w:r>
    </w:p>
    <w:p>
      <w:pPr>
        <w:numPr>
          <w:ilvl w:val="0"/>
          <w:numId w:val="1002"/>
        </w:numPr>
        <w:pStyle w:val="Compact"/>
      </w:pPr>
      <w:r>
        <w:rPr>
          <w:bCs/>
          <w:b/>
        </w:rPr>
        <w:t xml:space="preserve">Renewable Energy Usage:</w:t>
      </w:r>
      <w:r>
        <w:t xml:space="preserve"> </w:t>
      </w:r>
      <w:r>
        <w:t xml:space="preserve">elvqvkmpuz (50%)</w:t>
      </w:r>
    </w:p>
    <w:p>
      <w:pPr>
        <w:numPr>
          <w:ilvl w:val="0"/>
          <w:numId w:val="1002"/>
        </w:numPr>
        <w:pStyle w:val="Compact"/>
      </w:pPr>
      <w:r>
        <w:rPr>
          <w:bCs/>
          <w:b/>
        </w:rPr>
        <w:t xml:space="preserve">Non-renewable Electricity Consumption:</w:t>
      </w:r>
      <w:r>
        <w:t xml:space="preserve"> </w:t>
      </w:r>
      <w:r>
        <w:t xml:space="preserve">10 kWh/unit * (1 - 0.50) = 5 kWh/unit</w:t>
      </w:r>
    </w:p>
    <w:p>
      <w:pPr>
        <w:numPr>
          <w:ilvl w:val="0"/>
          <w:numId w:val="1002"/>
        </w:numPr>
        <w:pStyle w:val="Compact"/>
      </w:pPr>
      <w:r>
        <w:rPr>
          <w:bCs/>
          <w:b/>
        </w:rPr>
        <w:t xml:space="preserve">Final Production Country Electricity Grid Mix:</w:t>
      </w:r>
      <w:r>
        <w:t xml:space="preserve"> </w:t>
      </w:r>
      <w:r>
        <w:t xml:space="preserve">China (Emission Factor: 0.556 kg CO2e/kWh)</w:t>
      </w:r>
    </w:p>
    <w:p>
      <w:pPr>
        <w:numPr>
          <w:ilvl w:val="0"/>
          <w:numId w:val="1002"/>
        </w:numPr>
        <w:pStyle w:val="Compact"/>
      </w:pPr>
      <w:r>
        <w:rPr>
          <w:bCs/>
          <w:b/>
        </w:rPr>
        <w:t xml:space="preserve">Scope 1 Emissions:</w:t>
      </w:r>
      <w:r>
        <w:t xml:space="preserve"> </w:t>
      </w:r>
      <w:r>
        <w:t xml:space="preserve">Assumed negligible direct fuel combustion in the factory for this product at a high-level PCF, as primary manufacturing process emissions are often embedded in upstream material/energy factors.</w:t>
      </w:r>
    </w:p>
    <w:bookmarkEnd w:id="25"/>
    <w:bookmarkStart w:id="26" w:name="X44549f4e0f966634f119e6d9621d5d1b43bdeba"/>
    <w:p>
      <w:pPr>
        <w:pStyle w:val="Heading3"/>
      </w:pPr>
      <w:r>
        <w:t xml:space="preserve">Transportation and Distribution (Scope 3 - Upstream &amp; Downstream)</w:t>
      </w:r>
    </w:p>
    <w:p>
      <w:pPr>
        <w:pStyle w:val="FirstParagraph"/>
      </w:pPr>
      <w:r>
        <w:t xml:space="preserve">Logistics data for the EcoWidget Pro (zuhqpydmgk) is integrated into the supply chain analysis, covering both transport of finished goods to market and last-mile delivery.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Product Weight (assumed)</w:t>
            </w:r>
          </w:p>
        </w:tc>
        <w:tc>
          <w:tcPr/>
          <w:p>
            <w:pPr>
              <w:pStyle w:val="Compact"/>
              <w:jc w:val="left"/>
            </w:pPr>
            <w:r>
              <w:t xml:space="preserve">Emission Factor (kg CO2e/tonne-km)</w:t>
            </w:r>
          </w:p>
        </w:tc>
      </w:tr>
      <w:tr>
        <w:tc>
          <w:tcPr/>
          <w:p>
            <w:pPr>
              <w:pStyle w:val="Compact"/>
              <w:jc w:val="left"/>
            </w:pPr>
            <w:r>
              <w:t xml:space="preserve">Primary Transport (China to Europe)</w:t>
            </w:r>
          </w:p>
        </w:tc>
        <w:tc>
          <w:tcPr/>
          <w:p>
            <w:pPr>
              <w:pStyle w:val="Compact"/>
              <w:jc w:val="left"/>
            </w:pPr>
            <w:r>
              <w:t xml:space="preserve">Ocean Freight (Select Mode)</w:t>
            </w:r>
          </w:p>
        </w:tc>
        <w:tc>
          <w:tcPr/>
          <w:p>
            <w:pPr>
              <w:pStyle w:val="Compact"/>
              <w:jc w:val="left"/>
            </w:pPr>
            <w:r>
              <w:t xml:space="preserve">10000 km (uszxptqdll)</w:t>
            </w:r>
          </w:p>
        </w:tc>
        <w:tc>
          <w:tcPr/>
          <w:p>
            <w:pPr>
              <w:pStyle w:val="Compact"/>
              <w:jc w:val="left"/>
            </w:pPr>
            <w:r>
              <w:t xml:space="preserve">0.001 tonne (1 kg)</w:t>
            </w:r>
          </w:p>
        </w:tc>
        <w:tc>
          <w:tcPr/>
          <w:p>
            <w:pPr>
              <w:pStyle w:val="Compact"/>
              <w:jc w:val="left"/>
            </w:pPr>
            <w:r>
              <w:t xml:space="preserve">0.016</w:t>
            </w:r>
          </w:p>
        </w:tc>
      </w:tr>
      <w:tr>
        <w:tc>
          <w:tcPr/>
          <w:p>
            <w:pPr>
              <w:pStyle w:val="Compact"/>
              <w:jc w:val="left"/>
            </w:pPr>
            <w:r>
              <w:t xml:space="preserve">Last-Mile Delivery (within Europe)</w:t>
            </w:r>
          </w:p>
        </w:tc>
        <w:tc>
          <w:tcPr/>
          <w:p>
            <w:pPr>
              <w:pStyle w:val="Compact"/>
              <w:jc w:val="left"/>
            </w:pPr>
            <w:r>
              <w:t xml:space="preserve">Road (Van) (Delivery Type)</w:t>
            </w:r>
          </w:p>
        </w:tc>
        <w:tc>
          <w:tcPr/>
          <w:p>
            <w:pPr>
              <w:pStyle w:val="Compact"/>
              <w:jc w:val="left"/>
            </w:pPr>
            <w:r>
              <w:t xml:space="preserve">50 km (estimated)</w:t>
            </w:r>
          </w:p>
        </w:tc>
        <w:tc>
          <w:tcPr/>
          <w:p>
            <w:pPr>
              <w:pStyle w:val="Compact"/>
              <w:jc w:val="left"/>
            </w:pPr>
            <w:r>
              <w:t xml:space="preserve">0.001 tonne (1 kg)</w:t>
            </w:r>
          </w:p>
        </w:tc>
        <w:tc>
          <w:tcPr/>
          <w:p>
            <w:pPr>
              <w:pStyle w:val="Compact"/>
              <w:jc w:val="left"/>
            </w:pPr>
            <w:r>
              <w:t xml:space="preserve">0.15 (Assumed for last-mile delivery)</w:t>
            </w:r>
          </w:p>
        </w:tc>
      </w:tr>
    </w:tbl>
    <w:bookmarkEnd w:id="26"/>
    <w:bookmarkStart w:id="27" w:name="product-use-phase-scope-3---downstream"/>
    <w:p>
      <w:pPr>
        <w:pStyle w:val="Heading3"/>
      </w:pPr>
      <w:r>
        <w:t xml:space="preserve">Product Use Phase (Scope 3 - Downstream)</w:t>
      </w:r>
    </w:p>
    <w:p>
      <w:pPr>
        <w:pStyle w:val="FirstParagraph"/>
      </w:pPr>
      <w:r>
        <w:t xml:space="preserve">The environmental impact during the product\'s use is calculated using specific durability and consumption data:</w:t>
      </w:r>
    </w:p>
    <w:p>
      <w:pPr>
        <w:numPr>
          <w:ilvl w:val="0"/>
          <w:numId w:val="1003"/>
        </w:numPr>
        <w:pStyle w:val="Compact"/>
      </w:pPr>
      <w:r>
        <w:rPr>
          <w:bCs/>
          <w:b/>
        </w:rPr>
        <w:t xml:space="preserve">Product Lifespan:</w:t>
      </w:r>
      <w:r>
        <w:t xml:space="preserve"> </w:t>
      </w:r>
      <w:r>
        <w:t xml:space="preserve">rmywhnumtj (5 years)</w:t>
      </w:r>
    </w:p>
    <w:p>
      <w:pPr>
        <w:numPr>
          <w:ilvl w:val="0"/>
          <w:numId w:val="1003"/>
        </w:numPr>
        <w:pStyle w:val="Compact"/>
      </w:pPr>
      <w:r>
        <w:rPr>
          <w:bCs/>
          <w:b/>
        </w:rPr>
        <w:t xml:space="preserve">Energy Consumption in Use:</w:t>
      </w:r>
      <w:r>
        <w:t xml:space="preserve"> </w:t>
      </w:r>
      <w:r>
        <w:t xml:space="preserve">igkmtdroqy (20 kWh/year)</w:t>
      </w:r>
    </w:p>
    <w:p>
      <w:pPr>
        <w:numPr>
          <w:ilvl w:val="0"/>
          <w:numId w:val="1003"/>
        </w:numPr>
        <w:pStyle w:val="Compact"/>
      </w:pPr>
      <w:r>
        <w:rPr>
          <w:bCs/>
          <w:b/>
        </w:rPr>
        <w:t xml:space="preserve">Total Energy Consumption over Lifespan:</w:t>
      </w:r>
      <w:r>
        <w:t xml:space="preserve"> </w:t>
      </w:r>
      <w:r>
        <w:t xml:space="preserve">20 kWh/year * 5 years = 100 kWh</w:t>
      </w:r>
    </w:p>
    <w:p>
      <w:pPr>
        <w:numPr>
          <w:ilvl w:val="0"/>
          <w:numId w:val="1003"/>
        </w:numPr>
        <w:pStyle w:val="Compact"/>
      </w:pPr>
      <w:r>
        <w:rPr>
          <w:bCs/>
          <w:b/>
        </w:rPr>
        <w:t xml:space="preserve">User Region Electricity Grid Mix:</w:t>
      </w:r>
      <w:r>
        <w:t xml:space="preserve"> </w:t>
      </w:r>
      <w:r>
        <w:t xml:space="preserve">Europe (assumed for market focus) (Emission Factor: 0.25 kg CO2e/kWh - generic EU average)</w:t>
      </w:r>
    </w:p>
    <w:bookmarkEnd w:id="27"/>
    <w:bookmarkStart w:id="28" w:name="X2449e76f36fce2c9fec3c701a472f020b80894d"/>
    <w:p>
      <w:pPr>
        <w:pStyle w:val="Heading3"/>
      </w:pPr>
      <w:r>
        <w:t xml:space="preserve">End-of-Life (EoL) Scenarios (Scope 3 - Downstream)</w:t>
      </w:r>
    </w:p>
    <w:p>
      <w:pPr>
        <w:pStyle w:val="FirstParagraph"/>
      </w:pPr>
      <w:r>
        <w:t xml:space="preserve">The EoL scenario incorporates circular economy principles based on the provided data:</w:t>
      </w:r>
    </w:p>
    <w:p>
      <w:pPr>
        <w:numPr>
          <w:ilvl w:val="0"/>
          <w:numId w:val="1004"/>
        </w:numPr>
        <w:pStyle w:val="Compact"/>
      </w:pPr>
      <w:r>
        <w:rPr>
          <w:bCs/>
          <w:b/>
        </w:rPr>
        <w:t xml:space="preserve">Recyclability Percentage:</w:t>
      </w:r>
      <w:r>
        <w:t xml:space="preserve"> </w:t>
      </w:r>
      <w:r>
        <w:t xml:space="preserve">mnidfnoqre (70%)</w:t>
      </w:r>
    </w:p>
    <w:p>
      <w:pPr>
        <w:numPr>
          <w:ilvl w:val="0"/>
          <w:numId w:val="1004"/>
        </w:numPr>
        <w:pStyle w:val="Compact"/>
      </w:pPr>
      <w:r>
        <w:rPr>
          <w:bCs/>
          <w:b/>
        </w:rPr>
        <w:t xml:space="preserve">Circular/Take-back Programs:</w:t>
      </w:r>
      <w:r>
        <w:t xml:space="preserve"> </w:t>
      </w:r>
      <w:r>
        <w:t xml:space="preserve">ihyzvyyrlt (Yes, established take-back program)</w:t>
      </w:r>
    </w:p>
    <w:p>
      <w:pPr>
        <w:numPr>
          <w:ilvl w:val="0"/>
          <w:numId w:val="1004"/>
        </w:numPr>
        <w:pStyle w:val="Compact"/>
      </w:pPr>
      <w:r>
        <w:rPr>
          <w:bCs/>
          <w:b/>
        </w:rPr>
        <w:t xml:space="preserve">Product Weight for EoL:</w:t>
      </w:r>
      <w:r>
        <w:t xml:space="preserve"> </w:t>
      </w:r>
      <w:r>
        <w:t xml:space="preserve">1 kg</w:t>
      </w:r>
    </w:p>
    <w:p>
      <w:pPr>
        <w:numPr>
          <w:ilvl w:val="0"/>
          <w:numId w:val="1004"/>
        </w:numPr>
        <w:pStyle w:val="Compact"/>
      </w:pPr>
      <w:r>
        <w:rPr>
          <w:bCs/>
          <w:b/>
        </w:rPr>
        <w:t xml:space="preserve">Waste Disposal Breakdown:</w:t>
      </w:r>
      <w:r>
        <w:t xml:space="preserve"> </w:t>
      </w:r>
      <w:r>
        <w:t xml:space="preserve">30% Landfilled, 70% Recycled</w:t>
      </w:r>
    </w:p>
    <w:p>
      <w:pPr>
        <w:numPr>
          <w:ilvl w:val="0"/>
          <w:numId w:val="1004"/>
        </w:numPr>
        <w:pStyle w:val="Compact"/>
      </w:pPr>
      <w:r>
        <w:rPr>
          <w:bCs/>
          <w:b/>
        </w:rPr>
        <w:t xml:space="preserve">Landfill Emission Factor:</w:t>
      </w:r>
      <w:r>
        <w:t xml:space="preserve"> </w:t>
      </w:r>
      <w:r>
        <w:t xml:space="preserve">1.2 kg CO2e/kg</w:t>
      </w:r>
    </w:p>
    <w:p>
      <w:pPr>
        <w:numPr>
          <w:ilvl w:val="0"/>
          <w:numId w:val="1004"/>
        </w:numPr>
        <w:pStyle w:val="Compact"/>
      </w:pPr>
      <w:r>
        <w:rPr>
          <w:bCs/>
          <w:b/>
        </w:rPr>
        <w:t xml:space="preserve">Recycling Process Emission Factor:</w:t>
      </w:r>
      <w:r>
        <w:t xml:space="preserve"> </w:t>
      </w:r>
      <w:r>
        <w:t xml:space="preserve">0.02 kg CO2e/kg</w:t>
      </w:r>
    </w:p>
    <w:p>
      <w:pPr>
        <w:numPr>
          <w:ilvl w:val="0"/>
          <w:numId w:val="1004"/>
        </w:numPr>
        <w:pStyle w:val="Compact"/>
      </w:pPr>
      <w:r>
        <w:rPr>
          <w:bCs/>
          <w:b/>
        </w:rPr>
        <w:t xml:space="preserve">Avoided Emissions (Credit) for Recycling:</w:t>
      </w:r>
      <w:r>
        <w:t xml:space="preserve"> </w:t>
      </w:r>
      <w:r>
        <w:t xml:space="preserve">A credit is applied to reflect the avoided production of virgin materials due to recycling facilitated by the take-back program. (Illustrative assumed credit of 1.0 kg CO2e/kg for recycled portion).</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All calculations apply industry-standard emission factors.</w:t>
      </w:r>
    </w:p>
    <w:bookmarkStart w:id="30" w:name="ghg-protocol-categorization"/>
    <w:p>
      <w:pPr>
        <w:pStyle w:val="Heading3"/>
      </w:pPr>
      <w:r>
        <w:t xml:space="preserve">GHG Protocol Categorization</w:t>
      </w:r>
    </w:p>
    <w:p>
      <w:pPr>
        <w:numPr>
          <w:ilvl w:val="0"/>
          <w:numId w:val="1005"/>
        </w:numPr>
        <w:pStyle w:val="Compact"/>
      </w:pPr>
      <w:r>
        <w:rPr>
          <w:bCs/>
          <w:b/>
        </w:rPr>
        <w:t xml:space="preserve">Scope 1: Direct Emissions</w:t>
      </w:r>
      <w:r>
        <w:t xml:space="preserve"> </w:t>
      </w:r>
      <w:r>
        <w:t xml:space="preserve">from sources owned or controlled by GreenInnovate Corp. (qklmzektfm). For the EcoWidget Pro PCF, these are assumed negligible at the manufacturing facility itself in this high-level analysis, as primary manufacturing process emissions are often embedded in upstream material/energy factors.</w:t>
      </w:r>
    </w:p>
    <w:p>
      <w:pPr>
        <w:numPr>
          <w:ilvl w:val="0"/>
          <w:numId w:val="1005"/>
        </w:numPr>
        <w:pStyle w:val="Compact"/>
      </w:pPr>
      <w:r>
        <w:rPr>
          <w:bCs/>
          <w:b/>
        </w:rPr>
        <w:t xml:space="preserve">Scope 2: Indirect Emissions from Purchased Energy</w:t>
      </w:r>
      <w:r>
        <w:t xml:space="preserve">, specifically electricity consumed in the manufacturing process.</w:t>
      </w:r>
    </w:p>
    <w:p>
      <w:pPr>
        <w:numPr>
          <w:ilvl w:val="0"/>
          <w:numId w:val="1005"/>
        </w:numPr>
        <w:pStyle w:val="Compact"/>
      </w:pPr>
      <w:r>
        <w:rPr>
          <w:bCs/>
          <w:b/>
        </w:rPr>
        <w:t xml:space="preserve">Scope 3: Other Indirect Emissions</w:t>
      </w:r>
      <w:r>
        <w:t xml:space="preserve">, covering the entire value chain, both upstream (e.g., raw materials, inbound logistics) and downstream (e.g., outbound logistics, product use, end-of-life). This report ensures at least 95% coverage for Scope 3 reporting, in line with 2026 requirements, by encompassing all relevant lifecycle stages.</w:t>
      </w:r>
    </w:p>
    <w:bookmarkEnd w:id="30"/>
    <w:bookmarkStart w:id="31" w:name="lsr-update-application"/>
    <w:p>
      <w:pPr>
        <w:pStyle w:val="Heading3"/>
      </w:pPr>
      <w:r>
        <w:t xml:space="preserve">2026 LSR Update Application</w:t>
      </w:r>
    </w:p>
    <w:p>
      <w:pPr>
        <w:pStyle w:val="FirstParagraph"/>
      </w:pPr>
      <w:r>
        <w:t xml:space="preserve">The Land Sector and Removals (LSR) Standard, released on January 30, 2026, and effective January 1, 2027, has been considered in this analysis. While specific land-use data for raw material sourcing was not provided for the EcoWidget Pro, the framework of the LSR Standard for accounting land management, land use change, and CO2 removals is acknowledged and would be integrated with primary data in future, more granular assessments. The potential for carbon removals from circular economy initiatives (e.g., durable biogenic materials, enhanced recycling avoiding virgin production) aligns with the spirit of the LSR Standard.</w:t>
      </w:r>
    </w:p>
    <w:bookmarkEnd w:id="31"/>
    <w:bookmarkStart w:id="37" w:name="X2f9e4ba71c6053cf16bdd9f3fc32c93b8a596ed"/>
    <w:p>
      <w:pPr>
        <w:pStyle w:val="Heading3"/>
      </w:pPr>
      <w:r>
        <w:t xml:space="preserve">Detailed Emission Calculations by Lifecycle Stage</w:t>
      </w:r>
    </w:p>
    <w:bookmarkStart w:id="32" w:name="Xbca2ff2388da05b534257c588600da4d6697234"/>
    <w:p>
      <w:pPr>
        <w:pStyle w:val="Heading4"/>
      </w:pPr>
      <w:r>
        <w:t xml:space="preserve">A. Materials Acquisition and Pre-processing (Scope 3 - Upstream)</w:t>
      </w:r>
    </w:p>
    <w:p>
      <w:pPr>
        <w:pStyle w:val="FirstParagraph"/>
      </w:pPr>
      <w:r>
        <w:t xml:space="preserve">Based on the provided BOM, the total carbon footprint for materials is the sum of the "Total Carbon" column:</w:t>
      </w:r>
    </w:p>
    <w:p>
      <w:pPr>
        <w:pStyle w:val="BodyText"/>
      </w:pPr>
      <w:r>
        <w:t xml:space="preserve">Total Materials Emissions = 1.25 (Plastic) + 0.50 (Copper) + 0.80 (Circuit Board) + 0.20 (Cardboard) =</w:t>
      </w:r>
      <w:r>
        <w:t xml:space="preserve"> </w:t>
      </w:r>
      <w:r>
        <w:rPr>
          <w:bCs/>
          <w:b/>
        </w:rPr>
        <w:t xml:space="preserve">2.75 kg CO2e</w:t>
      </w:r>
    </w:p>
    <w:bookmarkEnd w:id="32"/>
    <w:bookmarkStart w:id="33" w:name="b.-production-factory-gate"/>
    <w:p>
      <w:pPr>
        <w:pStyle w:val="Heading4"/>
      </w:pPr>
      <w:r>
        <w:t xml:space="preserve">B. Production (Factory Gate)</w:t>
      </w:r>
    </w:p>
    <w:p>
      <w:pPr>
        <w:numPr>
          <w:ilvl w:val="0"/>
          <w:numId w:val="1006"/>
        </w:numPr>
        <w:pStyle w:val="Compact"/>
      </w:pPr>
      <w:r>
        <w:t xml:space="preserve">Non-renewable Electricity Consumption: 5 kWh/unit</w:t>
      </w:r>
    </w:p>
    <w:p>
      <w:pPr>
        <w:numPr>
          <w:ilvl w:val="0"/>
          <w:numId w:val="1006"/>
        </w:numPr>
        <w:pStyle w:val="Compact"/>
      </w:pPr>
      <w:r>
        <w:t xml:space="preserve">China Grid Emission Factor: 0.556 kg CO2e/kWh</w:t>
      </w:r>
    </w:p>
    <w:p>
      <w:pPr>
        <w:numPr>
          <w:ilvl w:val="0"/>
          <w:numId w:val="1006"/>
        </w:numPr>
        <w:pStyle w:val="Compact"/>
      </w:pPr>
      <w:r>
        <w:t xml:space="preserve">Production Emissions (Scope 2) = 5 kWh/unit * 0.556 kg CO2e/kWh =</w:t>
      </w:r>
      <w:r>
        <w:t xml:space="preserve"> </w:t>
      </w:r>
      <w:r>
        <w:rPr>
          <w:bCs/>
          <w:b/>
        </w:rPr>
        <w:t xml:space="preserve">2.78 kg CO2e</w:t>
      </w:r>
    </w:p>
    <w:bookmarkEnd w:id="33"/>
    <w:bookmarkStart w:id="34" w:name="X1fb1e0db0b7237f14f68a2e755fc3c7fb1d36f2"/>
    <w:p>
      <w:pPr>
        <w:pStyle w:val="Heading4"/>
      </w:pPr>
      <w:r>
        <w:t xml:space="preserve">C. Transportation and Distribution (Scope 3 - Upstream &amp; Downstream)</w:t>
      </w:r>
    </w:p>
    <w:p>
      <w:pPr>
        <w:numPr>
          <w:ilvl w:val="0"/>
          <w:numId w:val="1007"/>
        </w:numPr>
        <w:pStyle w:val="Compact"/>
      </w:pPr>
      <w:r>
        <w:rPr>
          <w:bCs/>
          <w:b/>
        </w:rPr>
        <w:t xml:space="preserve">Primary Transport (Ocean Freight):</w:t>
      </w:r>
    </w:p>
    <w:p>
      <w:pPr>
        <w:numPr>
          <w:ilvl w:val="1"/>
          <w:numId w:val="1008"/>
        </w:numPr>
        <w:pStyle w:val="Compact"/>
      </w:pPr>
      <w:r>
        <w:t xml:space="preserve">Product Weight: 0.001 tonne</w:t>
      </w:r>
    </w:p>
    <w:p>
      <w:pPr>
        <w:numPr>
          <w:ilvl w:val="1"/>
          <w:numId w:val="1008"/>
        </w:numPr>
        <w:pStyle w:val="Compact"/>
      </w:pPr>
      <w:r>
        <w:t xml:space="preserve">Distance: 10000 km</w:t>
      </w:r>
    </w:p>
    <w:p>
      <w:pPr>
        <w:numPr>
          <w:ilvl w:val="1"/>
          <w:numId w:val="1008"/>
        </w:numPr>
        <w:pStyle w:val="Compact"/>
      </w:pPr>
      <w:r>
        <w:t xml:space="preserve">Emission Factor: 0.016 kg CO2e/tonne-km</w:t>
      </w:r>
    </w:p>
    <w:p>
      <w:pPr>
        <w:numPr>
          <w:ilvl w:val="1"/>
          <w:numId w:val="1008"/>
        </w:numPr>
        <w:pStyle w:val="Compact"/>
      </w:pPr>
      <w:r>
        <w:t xml:space="preserve">Emissions = 0.001 tonne * 10000 km * 0.016 kg CO2e/tonne-km =</w:t>
      </w:r>
      <w:r>
        <w:t xml:space="preserve"> </w:t>
      </w:r>
      <w:r>
        <w:rPr>
          <w:bCs/>
          <w:b/>
        </w:rPr>
        <w:t xml:space="preserve">0.16 kg CO2e</w:t>
      </w:r>
    </w:p>
    <w:p>
      <w:pPr>
        <w:numPr>
          <w:ilvl w:val="0"/>
          <w:numId w:val="1007"/>
        </w:numPr>
        <w:pStyle w:val="Compact"/>
      </w:pPr>
      <w:r>
        <w:rPr>
          <w:bCs/>
          <w:b/>
        </w:rPr>
        <w:t xml:space="preserve">Last-Mile Delivery (Road - Van):</w:t>
      </w:r>
    </w:p>
    <w:p>
      <w:pPr>
        <w:numPr>
          <w:ilvl w:val="1"/>
          <w:numId w:val="1009"/>
        </w:numPr>
        <w:pStyle w:val="Compact"/>
      </w:pPr>
      <w:r>
        <w:t xml:space="preserve">Product Weight: 0.001 tonne</w:t>
      </w:r>
    </w:p>
    <w:p>
      <w:pPr>
        <w:numPr>
          <w:ilvl w:val="1"/>
          <w:numId w:val="1009"/>
        </w:numPr>
        <w:pStyle w:val="Compact"/>
      </w:pPr>
      <w:r>
        <w:t xml:space="preserve">Distance: 50 km (estimated)</w:t>
      </w:r>
    </w:p>
    <w:p>
      <w:pPr>
        <w:numPr>
          <w:ilvl w:val="1"/>
          <w:numId w:val="1009"/>
        </w:numPr>
        <w:pStyle w:val="Compact"/>
      </w:pPr>
      <w:r>
        <w:t xml:space="preserve">Emission Factor: 0.15 kg CO2e/tonne-km (assumed for typical last-mile van delivery)</w:t>
      </w:r>
    </w:p>
    <w:p>
      <w:pPr>
        <w:numPr>
          <w:ilvl w:val="1"/>
          <w:numId w:val="1009"/>
        </w:numPr>
        <w:pStyle w:val="Compact"/>
      </w:pPr>
      <w:r>
        <w:t xml:space="preserve">Emissions = 0.001 tonne * 50 km * 0.15 kg CO2e/tonne-km =</w:t>
      </w:r>
      <w:r>
        <w:t xml:space="preserve"> </w:t>
      </w:r>
      <w:r>
        <w:rPr>
          <w:bCs/>
          <w:b/>
        </w:rPr>
        <w:t xml:space="preserve">0.0075 kg CO2e</w:t>
      </w:r>
    </w:p>
    <w:p>
      <w:pPr>
        <w:numPr>
          <w:ilvl w:val="0"/>
          <w:numId w:val="1007"/>
        </w:numPr>
        <w:pStyle w:val="Compact"/>
      </w:pPr>
      <w:r>
        <w:t xml:space="preserve">Total Transport Emissions = 0.16 kg CO2e + 0.0075 kg CO2e =</w:t>
      </w:r>
      <w:r>
        <w:t xml:space="preserve"> </w:t>
      </w:r>
      <w:r>
        <w:rPr>
          <w:bCs/>
          <w:b/>
        </w:rPr>
        <w:t xml:space="preserve">0.1675 kg CO2e</w:t>
      </w:r>
    </w:p>
    <w:bookmarkEnd w:id="34"/>
    <w:bookmarkStart w:id="35" w:name="X035b357d882b8ad30be4947d320cd11f9960c36"/>
    <w:p>
      <w:pPr>
        <w:pStyle w:val="Heading4"/>
      </w:pPr>
      <w:r>
        <w:t xml:space="preserve">D. Product Use Phase (Scope 3 - Downstream)</w:t>
      </w:r>
    </w:p>
    <w:p>
      <w:pPr>
        <w:numPr>
          <w:ilvl w:val="0"/>
          <w:numId w:val="1010"/>
        </w:numPr>
        <w:pStyle w:val="Compact"/>
      </w:pPr>
      <w:r>
        <w:t xml:space="preserve">Total Energy Consumption: 100 kWh</w:t>
      </w:r>
    </w:p>
    <w:p>
      <w:pPr>
        <w:numPr>
          <w:ilvl w:val="0"/>
          <w:numId w:val="1010"/>
        </w:numPr>
        <w:pStyle w:val="Compact"/>
      </w:pPr>
      <w:r>
        <w:t xml:space="preserve">Europe Grid Emission Factor (Use Phase): 0.25 kg CO2e/kWh (generic EU average)</w:t>
      </w:r>
    </w:p>
    <w:p>
      <w:pPr>
        <w:numPr>
          <w:ilvl w:val="0"/>
          <w:numId w:val="1010"/>
        </w:numPr>
        <w:pStyle w:val="Compact"/>
      </w:pPr>
      <w:r>
        <w:t xml:space="preserve">Use Phase Emissions = 100 kWh * 0.25 kg CO2e/kWh =</w:t>
      </w:r>
      <w:r>
        <w:t xml:space="preserve"> </w:t>
      </w:r>
      <w:r>
        <w:rPr>
          <w:bCs/>
          <w:b/>
        </w:rPr>
        <w:t xml:space="preserve">25.00 kg CO2e</w:t>
      </w:r>
    </w:p>
    <w:bookmarkEnd w:id="35"/>
    <w:bookmarkStart w:id="36" w:name="X69a14fea1ff725dbd9a7b3dfac8b50c6c4f2189"/>
    <w:p>
      <w:pPr>
        <w:pStyle w:val="Heading4"/>
      </w:pPr>
      <w:r>
        <w:t xml:space="preserve">E. End-of-Life (EoL) Scenarios (Scope 3 - Downstream)</w:t>
      </w:r>
    </w:p>
    <w:p>
      <w:pPr>
        <w:numPr>
          <w:ilvl w:val="0"/>
          <w:numId w:val="1011"/>
        </w:numPr>
        <w:pStyle w:val="Compact"/>
      </w:pPr>
      <w:r>
        <w:t xml:space="preserve">Product Weight: 1 kg</w:t>
      </w:r>
    </w:p>
    <w:p>
      <w:pPr>
        <w:numPr>
          <w:ilvl w:val="0"/>
          <w:numId w:val="1011"/>
        </w:numPr>
        <w:pStyle w:val="Compact"/>
      </w:pPr>
      <w:r>
        <w:t xml:space="preserve">Landfilled Portion: 0.3 kg</w:t>
      </w:r>
    </w:p>
    <w:p>
      <w:pPr>
        <w:numPr>
          <w:ilvl w:val="0"/>
          <w:numId w:val="1011"/>
        </w:numPr>
        <w:pStyle w:val="Compact"/>
      </w:pPr>
      <w:r>
        <w:t xml:space="preserve">Recycled Portion: 0.7 kg</w:t>
      </w:r>
    </w:p>
    <w:p>
      <w:pPr>
        <w:numPr>
          <w:ilvl w:val="0"/>
          <w:numId w:val="1011"/>
        </w:numPr>
        <w:pStyle w:val="Compact"/>
      </w:pPr>
      <w:r>
        <w:rPr>
          <w:bCs/>
          <w:b/>
        </w:rPr>
        <w:t xml:space="preserve">Landfill Burden:</w:t>
      </w:r>
      <w:r>
        <w:t xml:space="preserve"> </w:t>
      </w:r>
      <w:r>
        <w:t xml:space="preserve">0.3 kg * 1.2 kg CO2e/kg = 0.36 kg CO2e</w:t>
      </w:r>
    </w:p>
    <w:p>
      <w:pPr>
        <w:numPr>
          <w:ilvl w:val="0"/>
          <w:numId w:val="1011"/>
        </w:numPr>
        <w:pStyle w:val="Compact"/>
      </w:pPr>
      <w:r>
        <w:rPr>
          <w:bCs/>
          <w:b/>
        </w:rPr>
        <w:t xml:space="preserve">Recycling Process Burden:</w:t>
      </w:r>
      <w:r>
        <w:t xml:space="preserve"> </w:t>
      </w:r>
      <w:r>
        <w:t xml:space="preserve">0.7 kg * 0.02 kg CO2e/kg = 0.014 kg CO2e</w:t>
      </w:r>
    </w:p>
    <w:p>
      <w:pPr>
        <w:numPr>
          <w:ilvl w:val="0"/>
          <w:numId w:val="1011"/>
        </w:numPr>
        <w:pStyle w:val="Compact"/>
      </w:pPr>
      <w:r>
        <w:rPr>
          <w:bCs/>
          <w:b/>
        </w:rPr>
        <w:t xml:space="preserve">Avoided Emissions (Credit) from Recycling:</w:t>
      </w:r>
      <w:r>
        <w:t xml:space="preserve"> </w:t>
      </w:r>
      <w:r>
        <w:t xml:space="preserve">Given the 70% recyclability and established take-back program, a significant portion of virgin material production is avoided. For simplification, an illustrative credit of 1.0 kg CO2e/kg for the recycled portion is applied, reflecting the benefits of circularity.</w:t>
      </w:r>
    </w:p>
    <w:p>
      <w:pPr>
        <w:numPr>
          <w:ilvl w:val="1"/>
          <w:numId w:val="1012"/>
        </w:numPr>
        <w:pStyle w:val="Compact"/>
      </w:pPr>
      <w:r>
        <w:t xml:space="preserve">Credit = 0.7 kg * (-1.0 kg CO2e/kg) = -0.70 kg CO2e</w:t>
      </w:r>
    </w:p>
    <w:p>
      <w:pPr>
        <w:numPr>
          <w:ilvl w:val="0"/>
          <w:numId w:val="1011"/>
        </w:numPr>
        <w:pStyle w:val="Compact"/>
      </w:pPr>
      <w:r>
        <w:t xml:space="preserve">Net EoL Impact = 0.36 kg CO2e (landfill) + 0.014 kg CO2e (recycling process) - 0.70 kg CO2e (credit) =</w:t>
      </w:r>
      <w:r>
        <w:t xml:space="preserve"> </w:t>
      </w:r>
      <w:r>
        <w:rPr>
          <w:bCs/>
          <w:b/>
        </w:rPr>
        <w:t xml:space="preserve">-0.326 kg CO2e</w:t>
      </w:r>
      <w:r>
        <w:t xml:space="preserve"> </w:t>
      </w:r>
      <w:r>
        <w:t xml:space="preserve">(net removal/avoidance)</w:t>
      </w:r>
    </w:p>
    <w:bookmarkEnd w:id="36"/>
    <w:bookmarkEnd w:id="37"/>
    <w:bookmarkStart w:id="38" w:name="X2516bc9694920835fc4bd025b2896db07cfcf5d"/>
    <w:p>
      <w:pPr>
        <w:pStyle w:val="Heading3"/>
      </w:pPr>
      <w:r>
        <w:t xml:space="preserve">Total Product Carbon Footprint (PCF) for EcoWidget Pro (zuhqpydmgk)</w:t>
      </w:r>
    </w:p>
    <w:p>
      <w:pPr>
        <w:pStyle w:val="FirstParagraph"/>
      </w:pPr>
      <w:r>
        <w:t xml:space="preserve">The sum of emissions across all lifecycle stages:</w:t>
      </w:r>
    </w:p>
    <w:p>
      <w:pPr>
        <w:pStyle w:val="BodyText"/>
      </w:pPr>
      <w:r>
        <w:t xml:space="preserve">Total PCF = Materials + Production + Transport + Use Phase + End-of-Life</w:t>
      </w:r>
    </w:p>
    <w:p>
      <w:pPr>
        <w:pStyle w:val="BodyText"/>
      </w:pPr>
      <w:r>
        <w:t xml:space="preserve">Total PCF = 2.75 + 2.78 + 0.1675 + 25.00 - 0.326 =</w:t>
      </w:r>
      <w:r>
        <w:t xml:space="preserve"> </w:t>
      </w:r>
      <w:r>
        <w:rPr>
          <w:bCs/>
          <w:b/>
        </w:rPr>
        <w:t xml:space="preserve">30.3715 kg CO2e per unit</w:t>
      </w:r>
    </w:p>
    <w:p>
      <w:pPr>
        <w:pStyle w:val="BodyText"/>
      </w:pPr>
      <w:r>
        <w:t xml:space="preserve">Overall Product Carbon Footprint for 1.0 unit of EcoWidget Pro:</w:t>
      </w:r>
      <w:r>
        <w:t xml:space="preserve"> </w:t>
      </w:r>
      <w:r>
        <w:rPr>
          <w:bCs/>
          <w:b/>
        </w:rPr>
        <w:t xml:space="preserve">30.37 kg CO2e</w:t>
      </w:r>
    </w:p>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2.75</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2.78</w:t>
            </w:r>
          </w:p>
        </w:tc>
      </w:tr>
      <w:tr>
        <w:tc>
          <w:tcPr/>
          <w:p>
            <w:pPr>
              <w:pStyle w:val="Compact"/>
              <w:jc w:val="left"/>
            </w:pPr>
            <w:r>
              <w:t xml:space="preserve">Primary Transport (Finished Goods)</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0.0075</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-0.326</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30.3715</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Hotspot Identification</w:t>
      </w:r>
    </w:p>
    <w:p>
      <w:pPr>
        <w:pStyle w:val="FirstParagraph"/>
      </w:pPr>
      <w:r>
        <w:t xml:space="preserve">The primary emission hotspot for the EcoWidget Pro is clearly the</w:t>
      </w:r>
      <w:r>
        <w:t xml:space="preserve"> </w:t>
      </w:r>
      <w:r>
        <w:rPr>
          <w:bCs/>
          <w:b/>
        </w:rPr>
        <w:t xml:space="preserve">Product Use Phase</w:t>
      </w:r>
      <w:r>
        <w:t xml:space="preserve">, accounting for approximately 82% of the total cradle-to-grave footprint. This is primarily driven by the energy consumption of the product over its 5-year lifespan. Materials acquisition and pre-processing, along with factory production, represent the next significant contributions.</w:t>
      </w:r>
    </w:p>
    <w:p>
      <w:pPr>
        <w:numPr>
          <w:ilvl w:val="0"/>
          <w:numId w:val="1013"/>
        </w:numPr>
        <w:pStyle w:val="Compact"/>
      </w:pPr>
      <w:r>
        <w:rPr>
          <w:bCs/>
          <w:b/>
        </w:rPr>
        <w:t xml:space="preserve">Use Phase:</w:t>
      </w:r>
      <w:r>
        <w:t xml:space="preserve"> </w:t>
      </w:r>
      <w:r>
        <w:t xml:space="preserve">25.00 kg CO2e (approx. 82%)</w:t>
      </w:r>
    </w:p>
    <w:p>
      <w:pPr>
        <w:numPr>
          <w:ilvl w:val="0"/>
          <w:numId w:val="1013"/>
        </w:numPr>
        <w:pStyle w:val="Compact"/>
      </w:pPr>
      <w:r>
        <w:rPr>
          <w:bCs/>
          <w:b/>
        </w:rPr>
        <w:t xml:space="preserve">Materials:</w:t>
      </w:r>
      <w:r>
        <w:t xml:space="preserve"> </w:t>
      </w:r>
      <w:r>
        <w:t xml:space="preserve">2.75 kg CO2e (approx. 9%)</w:t>
      </w:r>
    </w:p>
    <w:p>
      <w:pPr>
        <w:numPr>
          <w:ilvl w:val="0"/>
          <w:numId w:val="1013"/>
        </w:numPr>
        <w:pStyle w:val="Compact"/>
      </w:pPr>
      <w:r>
        <w:rPr>
          <w:bCs/>
          <w:b/>
        </w:rPr>
        <w:t xml:space="preserve">Production:</w:t>
      </w:r>
      <w:r>
        <w:t xml:space="preserve"> </w:t>
      </w:r>
      <w:r>
        <w:t xml:space="preserve">2.78 kg CO2e (approx. 9%)</w:t>
      </w:r>
    </w:p>
    <w:p>
      <w:pPr>
        <w:numPr>
          <w:ilvl w:val="0"/>
          <w:numId w:val="1013"/>
        </w:numPr>
        <w:pStyle w:val="Compact"/>
      </w:pPr>
      <w:r>
        <w:rPr>
          <w:bCs/>
          <w:b/>
        </w:rPr>
        <w:t xml:space="preserve">Logistics:</w:t>
      </w:r>
      <w:r>
        <w:t xml:space="preserve"> </w:t>
      </w:r>
      <w:r>
        <w:t xml:space="preserve">0.1675 kg CO2e (approx. 0.5%)</w:t>
      </w:r>
    </w:p>
    <w:p>
      <w:pPr>
        <w:numPr>
          <w:ilvl w:val="0"/>
          <w:numId w:val="1013"/>
        </w:numPr>
        <w:pStyle w:val="Compact"/>
      </w:pPr>
      <w:r>
        <w:rPr>
          <w:bCs/>
          <w:b/>
        </w:rPr>
        <w:t xml:space="preserve">End-of-Life:</w:t>
      </w:r>
      <w:r>
        <w:t xml:space="preserve"> </w:t>
      </w:r>
      <w:r>
        <w:t xml:space="preserve">-0.326 kg CO2e (net credit, indicating positive impact from circularity)</w:t>
      </w:r>
    </w:p>
    <w:bookmarkEnd w:id="41"/>
    <w:bookmarkStart w:id="42" w:name="reliability-and-assumptions"/>
    <w:p>
      <w:pPr>
        <w:pStyle w:val="Heading3"/>
      </w:pPr>
      <w:r>
        <w:t xml:space="preserve">Reliability and Assumptions</w:t>
      </w:r>
    </w:p>
    <w:p>
      <w:pPr>
        <w:pStyle w:val="FirstParagraph"/>
      </w:pPr>
      <w:r>
        <w:t xml:space="preserve">This PCF analysis provides a robust estimate based on the parameters provided and generally accepted methodologies. Key assumptions include:</w:t>
      </w:r>
    </w:p>
    <w:p>
      <w:pPr>
        <w:numPr>
          <w:ilvl w:val="0"/>
          <w:numId w:val="1014"/>
        </w:numPr>
        <w:pStyle w:val="Compact"/>
      </w:pPr>
      <w:r>
        <w:t xml:space="preserve">Use of average emission factors from reputable databases (Ecoinvent, DEFRA-equivalent) for generic processes and electricity grids, particularly for regions like China and the EU.</w:t>
      </w:r>
    </w:p>
    <w:p>
      <w:pPr>
        <w:numPr>
          <w:ilvl w:val="0"/>
          <w:numId w:val="1014"/>
        </w:numPr>
        <w:pStyle w:val="Compact"/>
      </w:pPr>
      <w:r>
        <w:t xml:space="preserve">Assumed product weight of 1 kg for transport calculations.</w:t>
      </w:r>
    </w:p>
    <w:p>
      <w:pPr>
        <w:numPr>
          <w:ilvl w:val="0"/>
          <w:numId w:val="1014"/>
        </w:numPr>
        <w:pStyle w:val="Compact"/>
      </w:pPr>
      <w:r>
        <w:t xml:space="preserve">Estimated last-mile delivery distance of 50 km.</w:t>
      </w:r>
    </w:p>
    <w:p>
      <w:pPr>
        <w:numPr>
          <w:ilvl w:val="0"/>
          <w:numId w:val="1014"/>
        </w:numPr>
        <w:pStyle w:val="Compact"/>
      </w:pPr>
      <w:r>
        <w:t xml:space="preserve">The EoL credit for recycling is an illustrative simplification of avoided virgin material production, intended to demonstrate circular economy benefits. A more precise calculation would require material-specific avoided burden factors.</w:t>
      </w:r>
    </w:p>
    <w:p>
      <w:pPr>
        <w:numPr>
          <w:ilvl w:val="0"/>
          <w:numId w:val="1014"/>
        </w:numPr>
        <w:pStyle w:val="Compact"/>
      </w:pPr>
      <w:r>
        <w:t xml:space="preserve">Scope 1 emissions from direct manufacturing processes are considered negligible or embedded in other factors.</w:t>
      </w:r>
    </w:p>
    <w:p>
      <w:pPr>
        <w:numPr>
          <w:ilvl w:val="0"/>
          <w:numId w:val="1014"/>
        </w:numPr>
        <w:pStyle w:val="Compact"/>
      </w:pPr>
      <w:r>
        <w:t xml:space="preserve">The application of the 2026 LSR Standard is acknowledged conceptually; actual implementation would require specific land-use data.</w:t>
      </w:r>
    </w:p>
    <w:bookmarkEnd w:id="42"/>
    <w:bookmarkStart w:id="43" w:name="recommendations-for-emission-reduction"/>
    <w:p>
      <w:pPr>
        <w:pStyle w:val="Heading3"/>
      </w:pPr>
      <w:r>
        <w:t xml:space="preserve">Recommendations for Emission Reduction</w:t>
      </w:r>
    </w:p>
    <w:p>
      <w:pPr>
        <w:numPr>
          <w:ilvl w:val="0"/>
          <w:numId w:val="1015"/>
        </w:numPr>
        <w:pStyle w:val="Compact"/>
      </w:pPr>
      <w:r>
        <w:rPr>
          <w:bCs/>
          <w:b/>
        </w:rPr>
        <w:t xml:space="preserve">Optimize Use Phase Energy Efficiency:</w:t>
      </w:r>
      <w:r>
        <w:t xml:space="preserve"> </w:t>
      </w:r>
      <w:r>
        <w:t xml:space="preserve">Given the dominance of use phase emissions, GreenInnovate Corp. should prioritize product redesign for significantly lower energy consumption during operation. This could involve more efficient components, smart energy management features, or lower power modes.</w:t>
      </w:r>
    </w:p>
    <w:p>
      <w:pPr>
        <w:numPr>
          <w:ilvl w:val="0"/>
          <w:numId w:val="1015"/>
        </w:numPr>
        <w:pStyle w:val="Compact"/>
      </w:pPr>
      <w:r>
        <w:rPr>
          <w:bCs/>
          <w:b/>
        </w:rPr>
        <w:t xml:space="preserve">Increase Renewable Energy Sourcing (Production &amp; Use):</w:t>
      </w:r>
      <w:r>
        <w:t xml:space="preserve"> </w:t>
      </w:r>
      <w:r>
        <w:t xml:space="preserve">While 50% renewable energy is used in production, increasing this further, and promoting the use of renewable energy by end-users (e.g., through carbon-neutral energy supply partnerships or consumer education), would directly reduce Scope 2 and Use Phase (Scope 3) emissions.</w:t>
      </w:r>
    </w:p>
    <w:p>
      <w:pPr>
        <w:numPr>
          <w:ilvl w:val="0"/>
          <w:numId w:val="1015"/>
        </w:numPr>
        <w:pStyle w:val="Compact"/>
      </w:pPr>
      <w:r>
        <w:rPr>
          <w:bCs/>
          <w:b/>
        </w:rPr>
        <w:t xml:space="preserve">Material Optimization:</w:t>
      </w:r>
      <w:r>
        <w:t xml:space="preserve"> </w:t>
      </w:r>
      <w:r>
        <w:t xml:space="preserve">Explore further lightweighting of the product and sourcing materials with lower inherent carbon footprints, ensuring no compromise on durability or performance.</w:t>
      </w:r>
    </w:p>
    <w:p>
      <w:pPr>
        <w:numPr>
          <w:ilvl w:val="0"/>
          <w:numId w:val="1015"/>
        </w:numPr>
        <w:pStyle w:val="Compact"/>
      </w:pPr>
      <w:r>
        <w:rPr>
          <w:bCs/>
          <w:b/>
        </w:rPr>
        <w:t xml:space="preserve">Strengthen Circular Economy Initiatives:</w:t>
      </w:r>
      <w:r>
        <w:t xml:space="preserve"> </w:t>
      </w:r>
      <w:r>
        <w:t xml:space="preserve">Continuously enhance the established take-back program and explore advanced recycling technologies or refurbishment models to maximize material circularity and potentially increase net EoL credits.</w:t>
      </w:r>
    </w:p>
    <w:p>
      <w:pPr>
        <w:pStyle w:val="FirstParagraph"/>
      </w:pPr>
      <w:r>
        <w:t xml:space="preserve">Confidential - Internal Use Only | Page X of Y (for printing) | © 2026 GreenInnovate Corp.</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(zuhqpydmgk)</dc:title>
  <dc:creator/>
  <dc:description>A high-detail Product Carbon Footprint (PCF) analysis report for zuhqpydmgk, conducted by ghqxdrpddj, Senior Sustainability Consultant for qklmzektfm, adhering to GHG Protocol standards.</dc:description>
  <dc:language>en</dc:language>
  <cp:keywords/>
  <dcterms:created xsi:type="dcterms:W3CDTF">2026-07-15T20:40:46Z</dcterms:created>
  <dcterms:modified xsi:type="dcterms:W3CDTF">2026-07-15T20:40:46Z</dcterms:modified>
</cp:coreProperties>
</file>

<file path=docProps/custom.xml><?xml version="1.0" encoding="utf-8"?>
<Properties xmlns="http://schemas.openxmlformats.org/officeDocument/2006/custom-properties" xmlns:vt="http://schemas.openxmlformats.org/officeDocument/2006/docPropsVTypes"/>
</file>