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(ufjrfwdeje)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EcoWidget Pro (ufjrfwdeje)</w:t>
      </w:r>
    </w:p>
    <w:p>
      <w:pPr>
        <w:pStyle w:val="BodyText"/>
      </w:pPr>
      <w:r>
        <w:t xml:space="preserve">Company: gllfnovdko (EcoSolutions Inc.)</w:t>
      </w:r>
    </w:p>
    <w:p>
      <w:pPr>
        <w:pStyle w:val="BodyText"/>
      </w:pPr>
      <w:r>
        <w:t xml:space="preserve">Accounting Standard: GHG Protocol</w:t>
      </w:r>
    </w:p>
    <w:p>
      <w:pPr>
        <w:pStyle w:val="BodyText"/>
      </w:pPr>
      <w:r>
        <w:t xml:space="preserve">Senior Sustainability Consultant: hghhhrgsug (Dr. Alex Green)</w:t>
      </w:r>
    </w:p>
    <w:p>
      <w:pPr>
        <w:pStyle w:val="BodyText"/>
      </w:pPr>
      <w:r>
        <w:t xml:space="preserve">This report is generated based on available data and industry standards. While efforts have been made for accuracy, actual emissions may vary depending on specific operational details and evolving data availability.</w:t>
      </w:r>
    </w:p>
    <w:bookmarkEnd w:id="20"/>
    <w:bookmarkStart w:id="21" w:name="Xa87d010c1fd868336511b306fbd202996615f12"/>
    <w:p>
      <w:pPr>
        <w:pStyle w:val="Heading1"/>
      </w:pPr>
      <w:r>
        <w:t xml:space="preserve">Product Carbon Footprint Analysis Report</w:t>
      </w:r>
    </w:p>
    <w:p>
      <w:pPr>
        <w:pStyle w:val="FirstParagraph"/>
      </w:pPr>
      <w:r>
        <w:t xml:space="preserve">Product: EcoWidget Pro (ufjrfwdeje)</w:t>
      </w:r>
    </w:p>
    <w:p>
      <w:pPr>
        <w:pStyle w:val="BodyText"/>
      </w:pPr>
      <w:r>
        <w:t xml:space="preserve">Company: gllfnovdko (EcoSolutions Inc.)</w:t>
      </w:r>
    </w:p>
    <w:p>
      <w:pPr>
        <w:pStyle w:val="BodyText"/>
      </w:pPr>
      <w:r>
        <w:t xml:space="preserve">Generated Date: May 27, 2026</w:t>
      </w:r>
    </w:p>
    <w:p>
      <w:pPr>
        <w:pStyle w:val="BodyText"/>
      </w:pPr>
      <w:r>
        <w:t xml:space="preserve">Senior Sustainability Consultant: hghhhrgsug (Dr. Alex Green)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"EcoWidget Pro" (ufjrfwdeje) manufactured by gllfnovdko (EcoSolutions Inc.), adhering to the GHG Protocol Product Life Cycle Accounting and Reporting Standard. The analysis covers emissions from raw material acquisition, manufacturing, transportation to the factory gate, use phase, and end-of-life treatment, with a system boundary of "factory_gate" for production emissions and extending to "cradle-to-grave" for the full product lifecycle. The total Product Carbon Footprint for one functional unit (1.0 unit) of EcoWidget Pro is calculated to be</w:t>
      </w:r>
      <w:r>
        <w:t xml:space="preserve"> </w:t>
      </w:r>
      <w:r>
        <w:rPr>
          <w:bCs/>
          <w:b/>
        </w:rPr>
        <w:t xml:space="preserve">15.64 kg CO2e</w:t>
      </w:r>
      <w:r>
        <w:t xml:space="preserve">. The primary hotspots identified are the material acquisition and the product\'s use phase.</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for EcoWidget Pro follows the internationally recognized GHG Protocol Product Life Cycle Accounting and Reporting Standard. This methodology ensures a comprehensive and standardized approach to quantifying greenhouse gas (GHG)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"EcoWidget Pro" (ufjrfwdeje).</w:t>
      </w:r>
    </w:p>
    <w:p>
      <w:pPr>
        <w:numPr>
          <w:ilvl w:val="0"/>
          <w:numId w:val="1001"/>
        </w:numPr>
        <w:pStyle w:val="Compact"/>
      </w:pPr>
      <w:r>
        <w:rPr>
          <w:bCs/>
          <w:b/>
        </w:rPr>
        <w:t xml:space="preserve">System Boundary:</w:t>
      </w:r>
    </w:p>
    <w:p>
      <w:pPr>
        <w:numPr>
          <w:ilvl w:val="1"/>
          <w:numId w:val="1002"/>
        </w:numPr>
        <w:pStyle w:val="Compact"/>
      </w:pPr>
      <w:r>
        <w:rPr>
          <w:bCs/>
          <w:b/>
        </w:rPr>
        <w:t xml:space="preserve">Cradle-to-Gate:</w:t>
      </w:r>
      <w:r>
        <w:t xml:space="preserve"> </w:t>
      </w:r>
      <w:r>
        <w:t xml:space="preserve">Includes raw material acquisition, pre-processing, and manufacturing up to the point the product leaves the factory gate in China.</w:t>
      </w:r>
    </w:p>
    <w:p>
      <w:pPr>
        <w:numPr>
          <w:ilvl w:val="1"/>
          <w:numId w:val="1002"/>
        </w:numPr>
        <w:pStyle w:val="Compact"/>
      </w:pPr>
      <w:r>
        <w:rPr>
          <w:bCs/>
          <w:b/>
        </w:rPr>
        <w:t xml:space="preserve">Cradle-to-Grave:</w:t>
      </w:r>
      <w:r>
        <w:t xml:space="preserve"> </w:t>
      </w:r>
      <w:r>
        <w:t xml:space="preserve">Extends beyond the factory gate to include outbound transportation, the product\'s use phase, and its end-of-life treatment.</w:t>
      </w:r>
    </w:p>
    <w:p>
      <w:pPr>
        <w:numPr>
          <w:ilvl w:val="0"/>
          <w:numId w:val="1001"/>
        </w:numPr>
        <w:pStyle w:val="Compact"/>
      </w:pPr>
      <w:r>
        <w:rPr>
          <w:bCs/>
          <w:b/>
        </w:rPr>
        <w:t xml:space="preserve">Geographic Scope:</w:t>
      </w:r>
      <w:r>
        <w:t xml:space="preserve"> </w:t>
      </w:r>
      <w:r>
        <w:t xml:space="preserve">Final production country is China, with a supply chain focus on Europe for upstream activities and the use phase.</w:t>
      </w:r>
    </w:p>
    <w:p>
      <w:pPr>
        <w:numPr>
          <w:ilvl w:val="0"/>
          <w:numId w:val="1001"/>
        </w:numPr>
        <w:pStyle w:val="Compact"/>
      </w:pPr>
      <w:r>
        <w:rPr>
          <w:bCs/>
          <w:b/>
        </w:rPr>
        <w:t xml:space="preserve">Accounting Standard:</w:t>
      </w:r>
      <w:r>
        <w:t xml:space="preserve"> </w:t>
      </w:r>
      <w:r>
        <w:t xml:space="preserve">GHG Protocol Corporate Accounting and Reporting Standard, supplemented by the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directly attributed to the functional unit wherever possible. Where shared processes occur, mass-based allocation has been applied.</w:t>
      </w:r>
    </w:p>
    <w:p>
      <w:pPr>
        <w:numPr>
          <w:ilvl w:val="0"/>
          <w:numId w:val="1001"/>
        </w:numPr>
        <w:pStyle w:val="Compact"/>
      </w:pPr>
      <w:r>
        <w:rPr>
          <w:bCs/>
          <w:b/>
        </w:rPr>
        <w:t xml:space="preserve">2026 LSR Update:</w:t>
      </w:r>
      <w:r>
        <w:t xml:space="preserve"> </w:t>
      </w:r>
      <w:r>
        <w:t xml:space="preserve">The GHG Protocol\'s Land Sector and Removals (LSR) Standard, released on January 30, 2026, and effective January 1, 2027, is conceptually applied to acknowledge the importance of land-based emissions and carbon removals. While direct land-use change impacts are not a primary driver for this specific product, the standard\'s principles inform the comprehensive approach to carbon accounting across the value chain.</w:t>
      </w:r>
    </w:p>
    <w:p>
      <w:pPr>
        <w:numPr>
          <w:ilvl w:val="0"/>
          <w:numId w:val="1001"/>
        </w:numPr>
        <w:pStyle w:val="Compact"/>
      </w:pPr>
      <w:r>
        <w:rPr>
          <w:bCs/>
          <w:b/>
        </w:rPr>
        <w:t xml:space="preserve">Scope 3 Compliance:</w:t>
      </w:r>
      <w:r>
        <w:t xml:space="preserve"> </w:t>
      </w:r>
      <w:r>
        <w:t xml:space="preserve">This analysis aims for at least 95% coverage for Scope 3 reporting, aligning with the proposed 2026 GHG Protocol requirements which emphasize a quantified threshold for completeness and transparency in value chain emissions.</w:t>
      </w:r>
    </w:p>
    <w:bookmarkEnd w:id="23"/>
    <w:bookmarkStart w:id="24" w:name="map-lifecycle-lci-inventory-stages"/>
    <w:p>
      <w:pPr>
        <w:pStyle w:val="Heading3"/>
      </w:pPr>
      <w:r>
        <w:t xml:space="preserve">2.2. Map Lifecycle (LCI Inventory Stages)</w:t>
      </w:r>
    </w:p>
    <w:p>
      <w:pPr>
        <w:pStyle w:val="FirstParagraph"/>
      </w:pPr>
      <w:r>
        <w:t xml:space="preserve">The lifecycle of the EcoWidget Pro is mapped across the following stages:</w:t>
      </w:r>
    </w:p>
    <w:p>
      <w:pPr>
        <w:numPr>
          <w:ilvl w:val="0"/>
          <w:numId w:val="1003"/>
        </w:numPr>
        <w:pStyle w:val="Compact"/>
      </w:pPr>
      <w:r>
        <w:rPr>
          <w:bCs/>
          <w:b/>
        </w:rPr>
        <w:t xml:space="preserve">Materials Acquisition &amp; Pre-processing:</w:t>
      </w:r>
      <w:r>
        <w:t xml:space="preserve"> </w:t>
      </w:r>
      <w:r>
        <w:t xml:space="preserve">Extraction, processing, and refining of all raw materials constituting the Bill of Materials (BOM).</w:t>
      </w:r>
    </w:p>
    <w:p>
      <w:pPr>
        <w:numPr>
          <w:ilvl w:val="0"/>
          <w:numId w:val="1003"/>
        </w:numPr>
        <w:pStyle w:val="Compact"/>
      </w:pPr>
      <w:r>
        <w:rPr>
          <w:bCs/>
          <w:b/>
        </w:rPr>
        <w:t xml:space="preserve">Manufacturing:</w:t>
      </w:r>
      <w:r>
        <w:t xml:space="preserve"> </w:t>
      </w:r>
      <w:r>
        <w:t xml:space="preserve">Production processes at the factory in China, including energy consumption.</w:t>
      </w:r>
    </w:p>
    <w:p>
      <w:pPr>
        <w:numPr>
          <w:ilvl w:val="0"/>
          <w:numId w:val="1003"/>
        </w:numPr>
        <w:pStyle w:val="Compact"/>
      </w:pPr>
      <w:r>
        <w:rPr>
          <w:bCs/>
          <w:b/>
        </w:rPr>
        <w:t xml:space="preserve">Transportation (Upstream):</w:t>
      </w:r>
      <w:r>
        <w:t xml:space="preserve"> </w:t>
      </w:r>
      <w:r>
        <w:t xml:space="preserve">Transport of raw materials and components to the manufacturing facility.</w:t>
      </w:r>
    </w:p>
    <w:p>
      <w:pPr>
        <w:numPr>
          <w:ilvl w:val="0"/>
          <w:numId w:val="1003"/>
        </w:numPr>
        <w:pStyle w:val="Compact"/>
      </w:pPr>
      <w:r>
        <w:rPr>
          <w:bCs/>
          <w:b/>
        </w:rPr>
        <w:t xml:space="preserve">Transportation (Downstream):</w:t>
      </w:r>
      <w:r>
        <w:t xml:space="preserve"> </w:t>
      </w:r>
      <w:r>
        <w:t xml:space="preserve">Last-mile delivery of the finished product to the end-user.</w:t>
      </w:r>
    </w:p>
    <w:p>
      <w:pPr>
        <w:numPr>
          <w:ilvl w:val="0"/>
          <w:numId w:val="1003"/>
        </w:numPr>
        <w:pStyle w:val="Compact"/>
      </w:pPr>
      <w:r>
        <w:rPr>
          <w:bCs/>
          <w:b/>
        </w:rPr>
        <w:t xml:space="preserve">Use Phase:</w:t>
      </w:r>
      <w:r>
        <w:t xml:space="preserve"> </w:t>
      </w:r>
      <w:r>
        <w:t xml:space="preserve">Energy consumption during the assumed lifespan of the product.</w:t>
      </w:r>
    </w:p>
    <w:p>
      <w:pPr>
        <w:numPr>
          <w:ilvl w:val="0"/>
          <w:numId w:val="1003"/>
        </w:numPr>
        <w:pStyle w:val="Compact"/>
      </w:pPr>
      <w:r>
        <w:rPr>
          <w:bCs/>
          <w:b/>
        </w:rPr>
        <w:t xml:space="preserve">End-of-Life (EoL):</w:t>
      </w:r>
      <w:r>
        <w:t xml:space="preserve"> </w:t>
      </w:r>
      <w:r>
        <w:t xml:space="preserve">Treatment and disposal, including recycling and landfilling.</w:t>
      </w:r>
    </w:p>
    <w:bookmarkEnd w:id="24"/>
    <w:bookmarkStart w:id="30" w:name="Xb57f50a89bf1f3f1837369be949d9d60d6c1272"/>
    <w:p>
      <w:pPr>
        <w:pStyle w:val="Heading3"/>
      </w:pPr>
      <w:r>
        <w:t xml:space="preserve">2.3. Collect Data (Primary/Secondary Data Points)</w:t>
      </w:r>
    </w:p>
    <w:p>
      <w:pPr>
        <w:pStyle w:val="FirstParagraph"/>
      </w:pPr>
      <w:r>
        <w:t xml:space="preserve">A combination of primary and secondary data sources was used for this analysis.</w:t>
      </w:r>
    </w:p>
    <w:bookmarkStart w:id="25" w:name="X1f4431e260f8dc9ee318a5b90f05548f44a407c"/>
    <w:p>
      <w:pPr>
        <w:pStyle w:val="Heading4"/>
      </w:pPr>
      <w:r>
        <w:t xml:space="preserve">Detailed Bill of Materials (BOM) - zghspkse</w:t>
      </w:r>
    </w:p>
    <w:p>
      <w:pPr>
        <w:pStyle w:val="FirstParagraph"/>
      </w:pPr>
      <w:r>
        <w:t xml:space="preserve">The provided Detailed Bill of Materials (BOM) for EcoWidget Pro is critical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gridSpan w:val="7"/>
          </w:tcPr>
          <w:p>
            <w:pPr>
              <w:pStyle w:val="Compact"/>
              <w:jc w:val="right"/>
            </w:pPr>
            <w:r>
              <w:t xml:space="preserve">Total Material Carbon Impact:</w:t>
            </w:r>
          </w:p>
        </w:tc>
        <w:tc>
          <w:tcPr/>
          <w:p>
            <w:pPr>
              <w:pStyle w:val="Compact"/>
              <w:jc w:val="left"/>
            </w:pPr>
            <w:r>
              <w:t xml:space="preserve">9.95</w:t>
            </w:r>
          </w:p>
        </w:tc>
      </w:tr>
    </w:tbl>
    <w:bookmarkEnd w:id="25"/>
    <w:bookmarkStart w:id="26" w:name="energy-inputs-production-phase"/>
    <w:p>
      <w:pPr>
        <w:pStyle w:val="Heading4"/>
      </w:pPr>
      <w:r>
        <w:t xml:space="preserve">Energy Inputs (Production Phase)</w:t>
      </w:r>
    </w:p>
    <w:p>
      <w:pPr>
        <w:numPr>
          <w:ilvl w:val="0"/>
          <w:numId w:val="1004"/>
        </w:numPr>
        <w:pStyle w:val="Compact"/>
      </w:pPr>
      <w:r>
        <w:rPr>
          <w:bCs/>
          <w:b/>
        </w:rPr>
        <w:t xml:space="preserve">Energy Intensity (kWh/unit):</w:t>
      </w:r>
      <w:r>
        <w:t xml:space="preserve"> </w:t>
      </w:r>
      <w:r>
        <w:t xml:space="preserve">kugwrqlvxl (0.25 kWh/unit)</w:t>
      </w:r>
    </w:p>
    <w:p>
      <w:pPr>
        <w:numPr>
          <w:ilvl w:val="0"/>
          <w:numId w:val="1004"/>
        </w:numPr>
        <w:pStyle w:val="Compact"/>
      </w:pPr>
      <w:r>
        <w:rPr>
          <w:bCs/>
          <w:b/>
        </w:rPr>
        <w:t xml:space="preserve">Renewable Energy Usage:</w:t>
      </w:r>
      <w:r>
        <w:t xml:space="preserve"> </w:t>
      </w:r>
      <w:r>
        <w:t xml:space="preserve">xperstwsix (70%)</w:t>
      </w:r>
    </w:p>
    <w:p>
      <w:pPr>
        <w:numPr>
          <w:ilvl w:val="0"/>
          <w:numId w:val="1004"/>
        </w:numPr>
        <w:pStyle w:val="Compact"/>
      </w:pPr>
      <w:r>
        <w:rPr>
          <w:bCs/>
          <w:b/>
        </w:rPr>
        <w:t xml:space="preserve">Assumed Emission Factors:</w:t>
      </w:r>
    </w:p>
    <w:p>
      <w:pPr>
        <w:numPr>
          <w:ilvl w:val="1"/>
          <w:numId w:val="1005"/>
        </w:numPr>
        <w:pStyle w:val="Compact"/>
      </w:pPr>
      <w:r>
        <w:t xml:space="preserve">China Grid Electricity: 0.6 kg CO2e/kWh</w:t>
      </w:r>
    </w:p>
    <w:p>
      <w:pPr>
        <w:numPr>
          <w:ilvl w:val="1"/>
          <w:numId w:val="1005"/>
        </w:numPr>
        <w:pStyle w:val="Compact"/>
      </w:pPr>
      <w:r>
        <w:t xml:space="preserve">Renewable Electricity (e.g., wind/solar, lifecycle): 0.01 kg CO2e/kWh</w:t>
      </w:r>
    </w:p>
    <w:bookmarkEnd w:id="26"/>
    <w:bookmarkStart w:id="27" w:name="logistics-data"/>
    <w:p>
      <w:pPr>
        <w:pStyle w:val="Heading4"/>
      </w:pPr>
      <w:r>
        <w:t xml:space="preserve">Logistics Data</w:t>
      </w:r>
    </w:p>
    <w:p>
      <w:pPr>
        <w:numPr>
          <w:ilvl w:val="0"/>
          <w:numId w:val="1006"/>
        </w:numPr>
        <w:pStyle w:val="Compact"/>
      </w:pPr>
      <w:r>
        <w:rPr>
          <w:bCs/>
          <w:b/>
        </w:rPr>
        <w:t xml:space="preserve">Transport Mode (Inbound):</w:t>
      </w:r>
      <w:r>
        <w:t xml:space="preserve"> </w:t>
      </w:r>
      <w:r>
        <w:t xml:space="preserve">Select Mode (Sea Freight &amp; Trucking)</w:t>
      </w:r>
    </w:p>
    <w:p>
      <w:pPr>
        <w:numPr>
          <w:ilvl w:val="0"/>
          <w:numId w:val="1006"/>
        </w:numPr>
        <w:pStyle w:val="Compact"/>
      </w:pPr>
      <w:r>
        <w:rPr>
          <w:bCs/>
          <w:b/>
        </w:rPr>
        <w:t xml:space="preserve">Transport Distance (Inbound):</w:t>
      </w:r>
      <w:r>
        <w:t xml:space="preserve"> </w:t>
      </w:r>
      <w:r>
        <w:t xml:space="preserve">sshotjqnwj (15,000 km Sea Freight + 500 km Trucking)</w:t>
      </w:r>
    </w:p>
    <w:p>
      <w:pPr>
        <w:numPr>
          <w:ilvl w:val="0"/>
          <w:numId w:val="1006"/>
        </w:numPr>
        <w:pStyle w:val="Compact"/>
      </w:pPr>
      <w:r>
        <w:rPr>
          <w:bCs/>
          <w:b/>
        </w:rPr>
        <w:t xml:space="preserve">Last-Mile Delivery Channel (Outbound):</w:t>
      </w:r>
      <w:r>
        <w:t xml:space="preserve"> </w:t>
      </w:r>
      <w:r>
        <w:t xml:space="preserve">Delivery Type (Small Parcel Van)</w:t>
      </w:r>
    </w:p>
    <w:p>
      <w:pPr>
        <w:numPr>
          <w:ilvl w:val="0"/>
          <w:numId w:val="1006"/>
        </w:numPr>
        <w:pStyle w:val="Compact"/>
      </w:pPr>
      <w:r>
        <w:rPr>
          <w:bCs/>
          <w:b/>
        </w:rPr>
        <w:t xml:space="preserve">Assumed Product Weight for Transport:</w:t>
      </w:r>
      <w:r>
        <w:t xml:space="preserve"> </w:t>
      </w:r>
      <w:r>
        <w:t xml:space="preserve">1.0 kg (for inbound materials and outbound product)</w:t>
      </w:r>
    </w:p>
    <w:p>
      <w:pPr>
        <w:numPr>
          <w:ilvl w:val="0"/>
          <w:numId w:val="1006"/>
        </w:numPr>
        <w:pStyle w:val="Compact"/>
      </w:pPr>
      <w:r>
        <w:rPr>
          <w:bCs/>
          <w:b/>
        </w:rPr>
        <w:t xml:space="preserve">Assumed Emission Factors:</w:t>
      </w:r>
    </w:p>
    <w:p>
      <w:pPr>
        <w:numPr>
          <w:ilvl w:val="1"/>
          <w:numId w:val="1007"/>
        </w:numPr>
        <w:pStyle w:val="Compact"/>
      </w:pPr>
      <w:r>
        <w:t xml:space="preserve">Sea Freight (container ship): 0.00001 kg CO2e/kg-km (0.01 kg CO2e/tonne-km)</w:t>
      </w:r>
    </w:p>
    <w:p>
      <w:pPr>
        <w:numPr>
          <w:ilvl w:val="1"/>
          <w:numId w:val="1007"/>
        </w:numPr>
        <w:pStyle w:val="Compact"/>
      </w:pPr>
      <w:r>
        <w:t xml:space="preserve">Trucking (&gt;32 metric ton): 0.0001 kg CO2e/kg-km (0.1 kg CO2e/tonne-km)</w:t>
      </w:r>
    </w:p>
    <w:p>
      <w:pPr>
        <w:numPr>
          <w:ilvl w:val="1"/>
          <w:numId w:val="1007"/>
        </w:numPr>
        <w:pStyle w:val="Compact"/>
      </w:pPr>
      <w:r>
        <w:t xml:space="preserve">Small Parcel Van (Last-Mile Delivery): 0.005 kg CO2e/kg-km (assuming 100 km distance for last mile for a 1kg package, factor derived for typical van operations)</w:t>
      </w:r>
    </w:p>
    <w:bookmarkEnd w:id="27"/>
    <w:bookmarkStart w:id="28" w:name="use-phase-data"/>
    <w:p>
      <w:pPr>
        <w:pStyle w:val="Heading4"/>
      </w:pPr>
      <w:r>
        <w:t xml:space="preserve">Use Phase Data</w:t>
      </w:r>
    </w:p>
    <w:p>
      <w:pPr>
        <w:numPr>
          <w:ilvl w:val="0"/>
          <w:numId w:val="1008"/>
        </w:numPr>
        <w:pStyle w:val="Compact"/>
      </w:pPr>
      <w:r>
        <w:rPr>
          <w:bCs/>
          <w:b/>
        </w:rPr>
        <w:t xml:space="preserve">Product Lifespan:</w:t>
      </w:r>
      <w:r>
        <w:t xml:space="preserve"> </w:t>
      </w:r>
      <w:r>
        <w:t xml:space="preserve">kzxjjkzimj (5 years)</w:t>
      </w:r>
    </w:p>
    <w:p>
      <w:pPr>
        <w:numPr>
          <w:ilvl w:val="0"/>
          <w:numId w:val="1008"/>
        </w:numPr>
        <w:pStyle w:val="Compact"/>
      </w:pPr>
      <w:r>
        <w:rPr>
          <w:bCs/>
          <w:b/>
        </w:rPr>
        <w:t xml:space="preserve">Energy Consumption in Use:</w:t>
      </w:r>
      <w:r>
        <w:t xml:space="preserve"> </w:t>
      </w:r>
      <w:r>
        <w:t xml:space="preserve">srjfhlmnhg (5 kWh/year)</w:t>
      </w:r>
    </w:p>
    <w:p>
      <w:pPr>
        <w:numPr>
          <w:ilvl w:val="0"/>
          <w:numId w:val="1008"/>
        </w:numPr>
        <w:pStyle w:val="Compact"/>
      </w:pPr>
      <w:r>
        <w:rPr>
          <w:bCs/>
          <w:b/>
        </w:rPr>
        <w:t xml:space="preserve">Assumed Emission Factor (EU Grid Electricity for use phase):</w:t>
      </w:r>
      <w:r>
        <w:t xml:space="preserve"> </w:t>
      </w:r>
      <w:r>
        <w:t xml:space="preserve">0.25 kg CO2e/kWh</w:t>
      </w:r>
    </w:p>
    <w:bookmarkEnd w:id="28"/>
    <w:bookmarkStart w:id="29" w:name="end-of-life-eol-data"/>
    <w:p>
      <w:pPr>
        <w:pStyle w:val="Heading4"/>
      </w:pPr>
      <w:r>
        <w:t xml:space="preserve">End-of-Life (EoL) Data</w:t>
      </w:r>
    </w:p>
    <w:p>
      <w:pPr>
        <w:numPr>
          <w:ilvl w:val="0"/>
          <w:numId w:val="1009"/>
        </w:numPr>
        <w:pStyle w:val="Compact"/>
      </w:pPr>
      <w:r>
        <w:rPr>
          <w:bCs/>
          <w:b/>
        </w:rPr>
        <w:t xml:space="preserve">Recyclability Percentage:</w:t>
      </w:r>
      <w:r>
        <w:t xml:space="preserve"> </w:t>
      </w:r>
      <w:r>
        <w:t xml:space="preserve">tqiqhdfquw (85%)</w:t>
      </w:r>
    </w:p>
    <w:p>
      <w:pPr>
        <w:numPr>
          <w:ilvl w:val="0"/>
          <w:numId w:val="1009"/>
        </w:numPr>
        <w:pStyle w:val="Compact"/>
      </w:pPr>
      <w:r>
        <w:rPr>
          <w:bCs/>
          <w:b/>
        </w:rPr>
        <w:t xml:space="preserve">Circular/Take-back Programs:</w:t>
      </w:r>
      <w:r>
        <w:t xml:space="preserve"> </w:t>
      </w:r>
      <w:r>
        <w:t xml:space="preserve">pzpnousdnw (Advanced material recovery and product refurbishment program)</w:t>
      </w:r>
    </w:p>
    <w:p>
      <w:pPr>
        <w:numPr>
          <w:ilvl w:val="0"/>
          <w:numId w:val="1009"/>
        </w:numPr>
        <w:pStyle w:val="Compact"/>
      </w:pPr>
      <w:r>
        <w:rPr>
          <w:bCs/>
          <w:b/>
        </w:rPr>
        <w:t xml:space="preserve">Assumed Emission Factors/Credits:</w:t>
      </w:r>
    </w:p>
    <w:p>
      <w:pPr>
        <w:numPr>
          <w:ilvl w:val="1"/>
          <w:numId w:val="1010"/>
        </w:numPr>
        <w:pStyle w:val="Compact"/>
      </w:pPr>
      <w:r>
        <w:t xml:space="preserve">Recycling Credit (general avoided primary production for recycled content): -1.0 kg CO2e/kg (credit for avoided virgin material production)</w:t>
      </w:r>
    </w:p>
    <w:p>
      <w:pPr>
        <w:numPr>
          <w:ilvl w:val="1"/>
          <w:numId w:val="1010"/>
        </w:numPr>
        <w:pStyle w:val="Compact"/>
      </w:pPr>
      <w:r>
        <w:t xml:space="preserve">Landfill (mixed waste): 0.3 kg CO2e/kg</w:t>
      </w:r>
    </w:p>
    <w:p>
      <w:r>
        <w:pict>
          <v:rect style="width:0;height:1.5pt" o:hralign="center" o:hrstd="t" o:hr="t"/>
        </w:pict>
      </w:r>
    </w:p>
    <w:bookmarkEnd w:id="29"/>
    <w:bookmarkEnd w:id="30"/>
    <w:bookmarkEnd w:id="31"/>
    <w:bookmarkStart w:id="38" w:name="calculation-of-emissions"/>
    <w:p>
      <w:pPr>
        <w:pStyle w:val="Heading2"/>
      </w:pPr>
      <w:r>
        <w:t xml:space="preserve">3. Calculation of Emissions</w:t>
      </w:r>
    </w:p>
    <w:p>
      <w:pPr>
        <w:pStyle w:val="FirstParagraph"/>
      </w:pPr>
      <w:r>
        <w:t xml:space="preserve">Emissions are calculated using the activity data collected and appropriate emission factors, expressed in kilograms of carbon dioxide equivalents (kg CO2e). Emissions are then categorized according to the GHG Protocol Scopes.</w:t>
      </w:r>
    </w:p>
    <w:bookmarkStart w:id="32" w:name="X1ad9a0c33edfd883cba8e7eb5d0853356860b8a"/>
    <w:p>
      <w:pPr>
        <w:pStyle w:val="Heading3"/>
      </w:pPr>
      <w:r>
        <w:t xml:space="preserve">3.1. Material Acquisition &amp; Pre-processing (Scope 3, Category 1)</w:t>
      </w:r>
    </w:p>
    <w:p>
      <w:pPr>
        <w:pStyle w:val="FirstParagraph"/>
      </w:pPr>
      <w:r>
        <w:t xml:space="preserve">Based on the provided Detailed Bill of Materials (BOM), the total carbon impact from raw material extraction and pre-processing is directly summed:</w:t>
      </w:r>
    </w:p>
    <w:p>
      <w:pPr>
        <w:numPr>
          <w:ilvl w:val="0"/>
          <w:numId w:val="1011"/>
        </w:numPr>
        <w:pStyle w:val="Compact"/>
      </w:pPr>
      <w:r>
        <w:t xml:space="preserve">Aluminum Casing: 6.00 kg CO2e</w:t>
      </w:r>
    </w:p>
    <w:p>
      <w:pPr>
        <w:numPr>
          <w:ilvl w:val="0"/>
          <w:numId w:val="1011"/>
        </w:numPr>
        <w:pStyle w:val="Compact"/>
      </w:pPr>
      <w:r>
        <w:t xml:space="preserve">ABS Plastic Housing: 1.05 kg CO2e</w:t>
      </w:r>
    </w:p>
    <w:p>
      <w:pPr>
        <w:numPr>
          <w:ilvl w:val="0"/>
          <w:numId w:val="1011"/>
        </w:numPr>
        <w:pStyle w:val="Compact"/>
      </w:pPr>
      <w:r>
        <w:t xml:space="preserve">Printed Circuit Board (PCB): 2.50 kg CO2e</w:t>
      </w:r>
    </w:p>
    <w:p>
      <w:pPr>
        <w:numPr>
          <w:ilvl w:val="0"/>
          <w:numId w:val="1011"/>
        </w:numPr>
        <w:pStyle w:val="Compact"/>
      </w:pPr>
      <w:r>
        <w:t xml:space="preserve">Copper Wiring: 0.40 kg CO2e</w:t>
      </w:r>
    </w:p>
    <w:p>
      <w:pPr>
        <w:pStyle w:val="FirstParagraph"/>
      </w:pPr>
      <w:r>
        <w:t xml:space="preserve">Total Material Emissions: 9.95 kg CO2e</w:t>
      </w:r>
    </w:p>
    <w:bookmarkEnd w:id="32"/>
    <w:bookmarkStart w:id="33" w:name="manufacturing-phase-scope-2"/>
    <w:p>
      <w:pPr>
        <w:pStyle w:val="Heading3"/>
      </w:pPr>
      <w:r>
        <w:t xml:space="preserve">3.2. Manufacturing Phase (Scope 2)</w:t>
      </w:r>
    </w:p>
    <w:p>
      <w:pPr>
        <w:pStyle w:val="FirstParagraph"/>
      </w:pPr>
      <w:r>
        <w:t xml:space="preserve">The energy consumption during the manufacturing process at the China-based factory is calculated considering the specified renewable energy usage.</w:t>
      </w:r>
    </w:p>
    <w:p>
      <w:pPr>
        <w:numPr>
          <w:ilvl w:val="0"/>
          <w:numId w:val="1012"/>
        </w:numPr>
        <w:pStyle w:val="Compact"/>
      </w:pPr>
      <w:r>
        <w:t xml:space="preserve">Total Energy Intensity: 0.25 kWh/unit</w:t>
      </w:r>
    </w:p>
    <w:p>
      <w:pPr>
        <w:numPr>
          <w:ilvl w:val="0"/>
          <w:numId w:val="1012"/>
        </w:numPr>
        <w:pStyle w:val="Compact"/>
      </w:pPr>
      <w:r>
        <w:t xml:space="preserve">Renewable Energy Usage: 70%</w:t>
      </w:r>
    </w:p>
    <w:p>
      <w:pPr>
        <w:numPr>
          <w:ilvl w:val="0"/>
          <w:numId w:val="1012"/>
        </w:numPr>
        <w:pStyle w:val="Compact"/>
      </w:pPr>
      <w:r>
        <w:t xml:space="preserve">Grid Electricity Usage: 0.25 kWh/unit * (1 - 0.70) = 0.075 kWh/unit</w:t>
      </w:r>
    </w:p>
    <w:p>
      <w:pPr>
        <w:numPr>
          <w:ilvl w:val="0"/>
          <w:numId w:val="1012"/>
        </w:numPr>
        <w:pStyle w:val="Compact"/>
      </w:pPr>
      <w:r>
        <w:t xml:space="preserve">Renewable Electricity Usage: 0.25 kWh/unit * 0.70 = 0.175 kWh/unit</w:t>
      </w:r>
    </w:p>
    <w:p>
      <w:pPr>
        <w:numPr>
          <w:ilvl w:val="0"/>
          <w:numId w:val="1012"/>
        </w:numPr>
        <w:pStyle w:val="Compact"/>
      </w:pPr>
      <w:r>
        <w:t xml:space="preserve">Grid Electricity Emissions: 0.075 kWh * 0.6 kg CO2e/kWh = 0.045 kg CO2e</w:t>
      </w:r>
    </w:p>
    <w:p>
      <w:pPr>
        <w:numPr>
          <w:ilvl w:val="0"/>
          <w:numId w:val="1012"/>
        </w:numPr>
        <w:pStyle w:val="Compact"/>
      </w:pPr>
      <w:r>
        <w:t xml:space="preserve">Renewable Electricity Emissions: 0.175 kWh * 0.01 kg CO2e/kWh = 0.00175 kg CO2e</w:t>
      </w:r>
    </w:p>
    <w:p>
      <w:pPr>
        <w:pStyle w:val="FirstParagraph"/>
      </w:pPr>
      <w:r>
        <w:t xml:space="preserve">Total Manufacturing Energy Emissions: 0.04675 kg CO2e</w:t>
      </w:r>
    </w:p>
    <w:bookmarkEnd w:id="33"/>
    <w:bookmarkStart w:id="34" w:name="X471e16c4862d5bcdbdad8915d6d02dacf20aaf2"/>
    <w:p>
      <w:pPr>
        <w:pStyle w:val="Heading3"/>
      </w:pPr>
      <w:r>
        <w:t xml:space="preserve">3.3. Transportation (Scope 3, Category 4 - Upstream)</w:t>
      </w:r>
    </w:p>
    <w:p>
      <w:pPr>
        <w:pStyle w:val="FirstParagraph"/>
      </w:pPr>
      <w:r>
        <w:t xml:space="preserve">Transportation of raw materials and components to the factory gate in China. An assumed inbound material mass of 1.0 kg per functional unit is used.</w:t>
      </w:r>
    </w:p>
    <w:p>
      <w:pPr>
        <w:numPr>
          <w:ilvl w:val="0"/>
          <w:numId w:val="1013"/>
        </w:numPr>
        <w:pStyle w:val="Compact"/>
      </w:pPr>
      <w:r>
        <w:t xml:space="preserve">Sea Freight Emissions (1.0 kg * 15,000 km * 0.00001 kg CO2e/kg-km): 0.15 kg CO2e</w:t>
      </w:r>
    </w:p>
    <w:p>
      <w:pPr>
        <w:numPr>
          <w:ilvl w:val="0"/>
          <w:numId w:val="1013"/>
        </w:numPr>
        <w:pStyle w:val="Compact"/>
      </w:pPr>
      <w:r>
        <w:t xml:space="preserve">Trucking Emissions (1.0 kg * 500 km * 0.0001 kg CO2e/kg-km): 0.05 kg CO2e</w:t>
      </w:r>
    </w:p>
    <w:p>
      <w:pPr>
        <w:pStyle w:val="FirstParagraph"/>
      </w:pPr>
      <w:r>
        <w:t xml:space="preserve">Total Upstream Transportation Emissions: 0.20 kg CO2e</w:t>
      </w:r>
    </w:p>
    <w:bookmarkEnd w:id="34"/>
    <w:bookmarkStart w:id="35" w:name="Xbd78ac0dfe9e24dfe32c648d5d12280c5283556"/>
    <w:p>
      <w:pPr>
        <w:pStyle w:val="Heading3"/>
      </w:pPr>
      <w:r>
        <w:t xml:space="preserve">3.4. Transportation (Scope 3, Category 9 - Downstream / Last-Mile Delivery)</w:t>
      </w:r>
    </w:p>
    <w:p>
      <w:pPr>
        <w:pStyle w:val="FirstParagraph"/>
      </w:pPr>
      <w:r>
        <w:t xml:space="preserve">The last-mile delivery to the customer via "Small Parcel Van" is considered. Assuming an average last-mile distance of 100 km for a 1.0 kg product.</w:t>
      </w:r>
    </w:p>
    <w:p>
      <w:pPr>
        <w:numPr>
          <w:ilvl w:val="0"/>
          <w:numId w:val="1014"/>
        </w:numPr>
        <w:pStyle w:val="Compact"/>
      </w:pPr>
      <w:r>
        <w:t xml:space="preserve">Last-Mile Delivery Emissions (1.0 kg * 100 km * 0.005 kg CO2e/kg-km): 0.50 kg CO2e</w:t>
      </w:r>
    </w:p>
    <w:p>
      <w:pPr>
        <w:pStyle w:val="FirstParagraph"/>
      </w:pPr>
      <w:r>
        <w:t xml:space="preserve">Total Downstream Transportation (Last-Mile) Emissions: 0.50 kg CO2e</w:t>
      </w:r>
    </w:p>
    <w:bookmarkEnd w:id="35"/>
    <w:bookmarkStart w:id="36" w:name="use-phase-scope-3-category-11"/>
    <w:p>
      <w:pPr>
        <w:pStyle w:val="Heading3"/>
      </w:pPr>
      <w:r>
        <w:t xml:space="preserve">3.5. Use Phase (Scope 3, Category 11)</w:t>
      </w:r>
    </w:p>
    <w:p>
      <w:pPr>
        <w:pStyle w:val="FirstParagraph"/>
      </w:pPr>
      <w:r>
        <w:t xml:space="preserve">Energy consumption during the product\'s lifespan, with an assumed electricity mix representative of Europe.</w:t>
      </w:r>
    </w:p>
    <w:p>
      <w:pPr>
        <w:numPr>
          <w:ilvl w:val="0"/>
          <w:numId w:val="1015"/>
        </w:numPr>
        <w:pStyle w:val="Compact"/>
      </w:pPr>
      <w:r>
        <w:t xml:space="preserve">Product Lifespan: 5 years</w:t>
      </w:r>
    </w:p>
    <w:p>
      <w:pPr>
        <w:numPr>
          <w:ilvl w:val="0"/>
          <w:numId w:val="1015"/>
        </w:numPr>
        <w:pStyle w:val="Compact"/>
      </w:pPr>
      <w:r>
        <w:t xml:space="preserve">Energy Consumption: 5 kWh/year</w:t>
      </w:r>
    </w:p>
    <w:p>
      <w:pPr>
        <w:numPr>
          <w:ilvl w:val="0"/>
          <w:numId w:val="1015"/>
        </w:numPr>
        <w:pStyle w:val="Compact"/>
      </w:pPr>
      <w:r>
        <w:t xml:space="preserve">Total Energy Consumption: 25 kWh</w:t>
      </w:r>
    </w:p>
    <w:p>
      <w:pPr>
        <w:numPr>
          <w:ilvl w:val="0"/>
          <w:numId w:val="1015"/>
        </w:numPr>
        <w:pStyle w:val="Compact"/>
      </w:pPr>
      <w:r>
        <w:t xml:space="preserve">Emissions (25 kWh * 0.25 kg CO2e/kWh): 6.25 kg CO2e</w:t>
      </w:r>
    </w:p>
    <w:p>
      <w:pPr>
        <w:pStyle w:val="FirstParagraph"/>
      </w:pPr>
      <w:r>
        <w:t xml:space="preserve">Total Use Phase Emissions: 6.25 kg CO2e</w:t>
      </w:r>
    </w:p>
    <w:bookmarkEnd w:id="36"/>
    <w:bookmarkStart w:id="37" w:name="Xd8b0cc1007d2f3c714880ecf2ca12af4f909441"/>
    <w:p>
      <w:pPr>
        <w:pStyle w:val="Heading3"/>
      </w:pPr>
      <w:r>
        <w:t xml:space="preserve">3.6. End-of-Life (EoL) Treatment (Scope 3, Category 12)</w:t>
      </w:r>
    </w:p>
    <w:p>
      <w:pPr>
        <w:pStyle w:val="FirstParagraph"/>
      </w:pPr>
      <w:r>
        <w:t xml:space="preserve">The end-of-life scenario accounts for recyclability and remaining waste to landfill, considering a net product weight of 1.0 kg. The "Advanced material recovery and product refurbishment program" (pzpnousdnw) contributes to enhanced recyclability.</w:t>
      </w:r>
    </w:p>
    <w:p>
      <w:pPr>
        <w:numPr>
          <w:ilvl w:val="0"/>
          <w:numId w:val="1016"/>
        </w:numPr>
        <w:pStyle w:val="Compact"/>
      </w:pPr>
      <w:r>
        <w:t xml:space="preserve">Recycled Mass: 1.0 kg * 85% = 0.85 kg</w:t>
      </w:r>
    </w:p>
    <w:p>
      <w:pPr>
        <w:numPr>
          <w:ilvl w:val="0"/>
          <w:numId w:val="1016"/>
        </w:numPr>
        <w:pStyle w:val="Compact"/>
      </w:pPr>
      <w:r>
        <w:t xml:space="preserve">Landfilled Mass: 1.0 kg * 15% = 0.15 kg</w:t>
      </w:r>
    </w:p>
    <w:p>
      <w:pPr>
        <w:numPr>
          <w:ilvl w:val="0"/>
          <w:numId w:val="1016"/>
        </w:numPr>
        <w:pStyle w:val="Compact"/>
      </w:pPr>
      <w:r>
        <w:t xml:space="preserve">Recycling Impact (0.85 kg * -1.0 kg CO2e/kg credit): -0.85 kg CO2e</w:t>
      </w:r>
    </w:p>
    <w:p>
      <w:pPr>
        <w:numPr>
          <w:ilvl w:val="0"/>
          <w:numId w:val="1016"/>
        </w:numPr>
        <w:pStyle w:val="Compact"/>
      </w:pPr>
      <w:r>
        <w:t xml:space="preserve">Landfill Impact (0.15 kg * 0.3 kg CO2e/kg): 0.045 kg CO2e</w:t>
      </w:r>
    </w:p>
    <w:p>
      <w:pPr>
        <w:pStyle w:val="FirstParagraph"/>
      </w:pPr>
      <w:r>
        <w:t xml:space="preserve">Total End-of-Life Emissions: -0.805 kg CO2e</w:t>
      </w:r>
    </w:p>
    <w:p>
      <w:r>
        <w:pict>
          <v:rect style="width:0;height:1.5pt" o:hralign="center" o:hrstd="t" o:hr="t"/>
        </w:pict>
      </w:r>
    </w:p>
    <w:bookmarkEnd w:id="37"/>
    <w:bookmarkEnd w:id="38"/>
    <w:bookmarkStart w:id="41" w:name="results-product-carbon-footprint-summary"/>
    <w:p>
      <w:pPr>
        <w:pStyle w:val="Heading2"/>
      </w:pPr>
      <w:r>
        <w:t xml:space="preserve">4. Results: Product Carbon Footprint Summary</w:t>
      </w:r>
    </w:p>
    <w:p>
      <w:pPr>
        <w:pStyle w:val="FirstParagraph"/>
      </w:pPr>
      <w:r>
        <w:t xml:space="preserve">The total Product Carbon Footprint for one functional unit of "EcoWidget Pro" (ufjrfwdeje) is</w:t>
      </w:r>
      <w:r>
        <w:t xml:space="preserve"> </w:t>
      </w:r>
      <w:r>
        <w:rPr>
          <w:bCs/>
          <w:b/>
        </w:rPr>
        <w:t xml:space="preserve">15.64 kg CO2e</w:t>
      </w:r>
      <w:r>
        <w:t xml:space="preserve">.</w:t>
      </w:r>
    </w:p>
    <w:bookmarkStart w:id="39"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Materials Acquisition &amp; Pre-processing</w:t>
            </w:r>
          </w:p>
        </w:tc>
        <w:tc>
          <w:tcPr/>
          <w:p>
            <w:pPr>
              <w:pStyle w:val="Compact"/>
              <w:jc w:val="left"/>
            </w:pPr>
            <w:r>
              <w:t xml:space="preserve">9.95</w:t>
            </w:r>
          </w:p>
        </w:tc>
        <w:tc>
          <w:tcPr/>
          <w:p>
            <w:pPr>
              <w:pStyle w:val="Compact"/>
              <w:jc w:val="left"/>
            </w:pPr>
            <w:r>
              <w:t xml:space="preserve">Scope 3, Category 1</w:t>
            </w:r>
          </w:p>
        </w:tc>
      </w:tr>
      <w:tr>
        <w:tc>
          <w:tcPr/>
          <w:p>
            <w:pPr>
              <w:pStyle w:val="Compact"/>
              <w:jc w:val="left"/>
            </w:pPr>
            <w:r>
              <w:t xml:space="preserve">Manufacturing (Energy)</w:t>
            </w:r>
          </w:p>
        </w:tc>
        <w:tc>
          <w:tcPr/>
          <w:p>
            <w:pPr>
              <w:pStyle w:val="Compact"/>
              <w:jc w:val="left"/>
            </w:pPr>
            <w:r>
              <w:t xml:space="preserve">0.05</w:t>
            </w:r>
          </w:p>
        </w:tc>
        <w:tc>
          <w:tcPr/>
          <w:p>
            <w:pPr>
              <w:pStyle w:val="Compact"/>
              <w:jc w:val="left"/>
            </w:pPr>
            <w:r>
              <w:t xml:space="preserve">Scope 2</w:t>
            </w:r>
          </w:p>
        </w:tc>
      </w:tr>
      <w:tr>
        <w:tc>
          <w:tcPr/>
          <w:p>
            <w:pPr>
              <w:pStyle w:val="Compact"/>
              <w:jc w:val="left"/>
            </w:pPr>
            <w:r>
              <w:t xml:space="preserve">Transportation (Upstream - to Factory Gate)</w:t>
            </w:r>
          </w:p>
        </w:tc>
        <w:tc>
          <w:tcPr/>
          <w:p>
            <w:pPr>
              <w:pStyle w:val="Compact"/>
              <w:jc w:val="left"/>
            </w:pPr>
            <w:r>
              <w:t xml:space="preserve">0.20</w:t>
            </w:r>
          </w:p>
        </w:tc>
        <w:tc>
          <w:tcPr/>
          <w:p>
            <w:pPr>
              <w:pStyle w:val="Compact"/>
              <w:jc w:val="left"/>
            </w:pPr>
            <w:r>
              <w:t xml:space="preserve">Scope 3, Category 4</w:t>
            </w:r>
          </w:p>
        </w:tc>
      </w:tr>
      <w:tr>
        <w:tc>
          <w:tcPr/>
          <w:p>
            <w:pPr>
              <w:pStyle w:val="Compact"/>
              <w:jc w:val="left"/>
            </w:pPr>
            <w:r>
              <w:t xml:space="preserve">Transportation (Downstream - Last-Mile Delivery)</w:t>
            </w:r>
          </w:p>
        </w:tc>
        <w:tc>
          <w:tcPr/>
          <w:p>
            <w:pPr>
              <w:pStyle w:val="Compact"/>
              <w:jc w:val="left"/>
            </w:pPr>
            <w:r>
              <w:t xml:space="preserve">0.50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6.25</w:t>
            </w:r>
          </w:p>
        </w:tc>
        <w:tc>
          <w:tcPr/>
          <w:p>
            <w:pPr>
              <w:pStyle w:val="Compact"/>
              <w:jc w:val="left"/>
            </w:pPr>
            <w:r>
              <w:t xml:space="preserve">Scope 3, Category 11</w:t>
            </w:r>
          </w:p>
        </w:tc>
      </w:tr>
      <w:tr>
        <w:tc>
          <w:tcPr/>
          <w:p>
            <w:pPr>
              <w:pStyle w:val="Compact"/>
              <w:jc w:val="left"/>
            </w:pPr>
            <w:r>
              <w:t xml:space="preserve">End-of-Life Treatment</w:t>
            </w:r>
          </w:p>
        </w:tc>
        <w:tc>
          <w:tcPr/>
          <w:p>
            <w:pPr>
              <w:pStyle w:val="Compact"/>
              <w:jc w:val="left"/>
            </w:pPr>
            <w:r>
              <w:t xml:space="preserve">-0.81</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16.14</w:t>
            </w:r>
          </w:p>
        </w:tc>
        <w:tc>
          <w:tcPr/>
          <w:p>
            <w:pPr>
              <w:pStyle w:val="Compact"/>
            </w:pPr>
          </w:p>
        </w:tc>
      </w:tr>
    </w:tbl>
    <w:p>
      <w:pPr>
        <w:pStyle w:val="BodyText"/>
      </w:pPr>
      <w:r>
        <w:rPr>
          <w:iCs/>
          <w:i/>
        </w:rPr>
        <w:t xml:space="preserve">Note: Values rounded for display. The total reflects the sum of precise calculations.</w:t>
      </w:r>
    </w:p>
    <w:bookmarkEnd w:id="39"/>
    <w:bookmarkStart w:id="40" w:name="emissions-by-ghg-protocol-scope"/>
    <w:p>
      <w:pPr>
        <w:pStyle w:val="Heading3"/>
      </w:pPr>
      <w:r>
        <w:t xml:space="preserve">4.2. Emissions by GHG Protocol Scope</w:t>
      </w:r>
    </w:p>
    <w:p>
      <w:pPr>
        <w:pStyle w:val="FirstParagraph"/>
      </w:pPr>
      <w:r>
        <w:t xml:space="preserve">In accordance with the GHG Protocol, emissions are categorized as follows:</w:t>
      </w:r>
    </w:p>
    <w:p>
      <w:pPr>
        <w:numPr>
          <w:ilvl w:val="0"/>
          <w:numId w:val="1017"/>
        </w:numPr>
        <w:pStyle w:val="Compact"/>
      </w:pPr>
      <w:r>
        <w:rPr>
          <w:bCs/>
          <w:b/>
        </w:rPr>
        <w:t xml:space="preserve">Scope 1 (Direct Emissions):</w:t>
      </w:r>
      <w:r>
        <w:t xml:space="preserve"> </w:t>
      </w:r>
      <w:r>
        <w:t xml:space="preserve">0.00 kg CO2e (No direct emissions from owned/controlled sources within the defined "factory_gate" boundary for this product).</w:t>
      </w:r>
    </w:p>
    <w:p>
      <w:pPr>
        <w:numPr>
          <w:ilvl w:val="0"/>
          <w:numId w:val="1017"/>
        </w:numPr>
        <w:pStyle w:val="Compact"/>
      </w:pPr>
      <w:r>
        <w:rPr>
          <w:bCs/>
          <w:b/>
        </w:rPr>
        <w:t xml:space="preserve">Scope 2 (Indirect Emissions from Purchased Energy):</w:t>
      </w:r>
      <w:r>
        <w:t xml:space="preserve"> </w:t>
      </w:r>
      <w:r>
        <w:t xml:space="preserve">0.05 kg CO2e (From electricity consumed during manufacturing).</w:t>
      </w:r>
    </w:p>
    <w:p>
      <w:pPr>
        <w:numPr>
          <w:ilvl w:val="0"/>
          <w:numId w:val="1017"/>
        </w:numPr>
        <w:pStyle w:val="Compact"/>
      </w:pPr>
      <w:r>
        <w:rPr>
          <w:bCs/>
          <w:b/>
        </w:rPr>
        <w:t xml:space="preserve">Scope 3 (Other Indirect Emissions from Value Chain):</w:t>
      </w:r>
      <w:r>
        <w:t xml:space="preserve"> </w:t>
      </w:r>
      <w:r>
        <w:t xml:space="preserve">15.59 kg CO2e (Includes materials, transport, use phase, and end-of-life).</w:t>
      </w:r>
    </w:p>
    <w:p>
      <w:pPr>
        <w:pStyle w:val="FirstParagraph"/>
      </w:pPr>
      <w:r>
        <w:t xml:space="preserve">Total Product Carbon Footprint: 15.64 kg CO2e</w:t>
      </w:r>
    </w:p>
    <w:p>
      <w:r>
        <w:pict>
          <v:rect style="width:0;height:1.5pt" o:hralign="center" o:hrstd="t" o:hr="t"/>
        </w:pict>
      </w:r>
    </w:p>
    <w:bookmarkEnd w:id="40"/>
    <w:bookmarkEnd w:id="41"/>
    <w:bookmarkStart w:id="46"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key emission hotspots for the EcoWidget Pro are:</w:t>
      </w:r>
    </w:p>
    <w:p>
      <w:pPr>
        <w:numPr>
          <w:ilvl w:val="0"/>
          <w:numId w:val="1018"/>
        </w:numPr>
        <w:pStyle w:val="Compact"/>
      </w:pPr>
      <w:r>
        <w:rPr>
          <w:bCs/>
          <w:b/>
        </w:rPr>
        <w:t xml:space="preserve">Materials Acquisition &amp; Pre-processing (63.6% of total PCF):</w:t>
      </w:r>
      <w:r>
        <w:t xml:space="preserve"> </w:t>
      </w:r>
      <w:r>
        <w:t xml:space="preserve">The production of raw materials, particularly the aluminum casing, is the largest contributor to the product\'s footprint. This highlights the importance of sustainable material sourcing and design for circularity.</w:t>
      </w:r>
    </w:p>
    <w:p>
      <w:pPr>
        <w:numPr>
          <w:ilvl w:val="0"/>
          <w:numId w:val="1018"/>
        </w:numPr>
        <w:pStyle w:val="Compact"/>
      </w:pPr>
      <w:r>
        <w:rPr>
          <w:bCs/>
          <w:b/>
        </w:rPr>
        <w:t xml:space="preserve">Use Phase (40.0% of total PCF):</w:t>
      </w:r>
      <w:r>
        <w:t xml:space="preserve"> </w:t>
      </w:r>
      <w:r>
        <w:t xml:space="preserve">The energy consumed by the product during its 5-year lifespan contributes significantly. This suggests opportunities for improving energy efficiency during product operation.</w:t>
      </w:r>
    </w:p>
    <w:p>
      <w:pPr>
        <w:numPr>
          <w:ilvl w:val="0"/>
          <w:numId w:val="1018"/>
        </w:numPr>
        <w:pStyle w:val="Compact"/>
      </w:pPr>
      <w:r>
        <w:rPr>
          <w:bCs/>
          <w:b/>
        </w:rPr>
        <w:t xml:space="preserve">End-of-Life Treatment (-5.2% of total PCF):</w:t>
      </w:r>
      <w:r>
        <w:t xml:space="preserve"> </w:t>
      </w:r>
      <w:r>
        <w:t xml:space="preserve">Due to the high recyclability percentage and the "Advanced material recovery and product refurbishment program" (pzpnousdnw), the end-of-life phase acts as a net carbon sink, providing a significant credit for avoided virgin material production.</w:t>
      </w:r>
    </w:p>
    <w:bookmarkEnd w:id="42"/>
    <w:bookmarkStart w:id="43" w:name="reliability-and-data-gaps"/>
    <w:p>
      <w:pPr>
        <w:pStyle w:val="Heading3"/>
      </w:pPr>
      <w:r>
        <w:t xml:space="preserve">5.2. Reliability and Data Gaps</w:t>
      </w:r>
    </w:p>
    <w:p>
      <w:pPr>
        <w:pStyle w:val="FirstParagraph"/>
      </w:pPr>
      <w:r>
        <w:t xml:space="preserve">The reliability of this PCF analysis is contingent upon the accuracy of the provided primary data and the representativeness of the secondary emission factors used.</w:t>
      </w:r>
    </w:p>
    <w:p>
      <w:pPr>
        <w:numPr>
          <w:ilvl w:val="0"/>
          <w:numId w:val="1019"/>
        </w:numPr>
        <w:pStyle w:val="Compact"/>
      </w:pPr>
      <w:r>
        <w:rPr>
          <w:bCs/>
          <w:b/>
        </w:rPr>
        <w:t xml:space="preserve">Primary Data:</w:t>
      </w:r>
      <w:r>
        <w:t xml:space="preserve"> </w:t>
      </w:r>
      <w:r>
        <w:t xml:space="preserve">The Detailed Bill of Materials (BOM), energy intensity, renewable energy usage, product lifespan, and energy consumption in use are based on specific inputs provided, enhancing accuracy.</w:t>
      </w:r>
    </w:p>
    <w:p>
      <w:pPr>
        <w:numPr>
          <w:ilvl w:val="0"/>
          <w:numId w:val="1019"/>
        </w:numPr>
        <w:pStyle w:val="Compact"/>
      </w:pPr>
      <w:r>
        <w:rPr>
          <w:bCs/>
          <w:b/>
        </w:rPr>
        <w:t xml:space="preserve">Secondary Data:</w:t>
      </w:r>
      <w:r>
        <w:t xml:space="preserve"> </w:t>
      </w:r>
      <w:r>
        <w:t xml:space="preserve">Industry-average emission factors from reputable sources (e.g., Ecoinvent/DEFRA equivalents) have been used for transport, grid electricity, and end-of-life processes where primary data was unavailable. These factors provide a good general estimation but may not capture the precise specificities of every supplier or regional energy mix.</w:t>
      </w:r>
    </w:p>
    <w:p>
      <w:pPr>
        <w:numPr>
          <w:ilvl w:val="0"/>
          <w:numId w:val="1019"/>
        </w:numPr>
        <w:pStyle w:val="Compact"/>
      </w:pPr>
      <w:r>
        <w:rPr>
          <w:bCs/>
          <w:b/>
        </w:rPr>
        <w:t xml:space="preserve">Scope 3 Coverage:</w:t>
      </w:r>
      <w:r>
        <w:t xml:space="preserve"> </w:t>
      </w:r>
      <w:r>
        <w:t xml:space="preserve">The analysis strives for comprehensive Scope 3 coverage, targeting the 95% threshold proposed in the 2026 GHG Protocol updates. Future iterations could benefit from more granular, supplier-specific data for all upstream and downstream categories to further enhance accuracy and meet evolving reporting requirements for data quality and disaggregation.</w:t>
      </w:r>
    </w:p>
    <w:bookmarkEnd w:id="43"/>
    <w:bookmarkStart w:id="45" w:name="recommendations-for-future-action"/>
    <w:p>
      <w:pPr>
        <w:pStyle w:val="Heading3"/>
      </w:pPr>
      <w:r>
        <w:t xml:space="preserve">5.3. Recommendations for Future Action</w:t>
      </w:r>
    </w:p>
    <w:p>
      <w:pPr>
        <w:numPr>
          <w:ilvl w:val="0"/>
          <w:numId w:val="1020"/>
        </w:numPr>
        <w:pStyle w:val="Compact"/>
      </w:pPr>
      <w:r>
        <w:rPr>
          <w:bCs/>
          <w:b/>
        </w:rPr>
        <w:t xml:space="preserve">Material Decarbonization:</w:t>
      </w:r>
      <w:r>
        <w:t xml:space="preserve"> </w:t>
      </w:r>
      <w:r>
        <w:t xml:space="preserve">Explore lower-carbon alternatives for high-impact materials, particularly aluminum, and investigate opportunities for increased recycled content beyond current levels.</w:t>
      </w:r>
    </w:p>
    <w:p>
      <w:pPr>
        <w:numPr>
          <w:ilvl w:val="0"/>
          <w:numId w:val="1020"/>
        </w:numPr>
        <w:pStyle w:val="Compact"/>
      </w:pPr>
      <w:r>
        <w:rPr>
          <w:bCs/>
          <w:b/>
        </w:rPr>
        <w:t xml:space="preserve">Energy Efficiency in Use:</w:t>
      </w:r>
      <w:r>
        <w:t xml:space="preserve"> </w:t>
      </w:r>
      <w:r>
        <w:t xml:space="preserve">Investigate design improvements to reduce the EcoWidget Pro\'s energy consumption during its use phase.</w:t>
      </w:r>
    </w:p>
    <w:p>
      <w:pPr>
        <w:numPr>
          <w:ilvl w:val="0"/>
          <w:numId w:val="1020"/>
        </w:numPr>
        <w:pStyle w:val="Compact"/>
      </w:pPr>
      <w:r>
        <w:rPr>
          <w:bCs/>
          <w:b/>
        </w:rPr>
        <w:t xml:space="preserve">Supplier Engagement:</w:t>
      </w:r>
      <w:r>
        <w:t xml:space="preserve"> </w:t>
      </w:r>
      <w:r>
        <w:t xml:space="preserve">Engage with key suppliers to collect primary data on their operational emissions and energy mixes, especially for high-impact components, to refine Scope 3 calculations.</w:t>
      </w:r>
    </w:p>
    <w:p>
      <w:pPr>
        <w:numPr>
          <w:ilvl w:val="0"/>
          <w:numId w:val="1020"/>
        </w:numPr>
        <w:pStyle w:val="Compact"/>
      </w:pPr>
      <w:r>
        <w:rPr>
          <w:bCs/>
          <w:b/>
        </w:rPr>
        <w:t xml:space="preserve">Circular Economy Initiatives:</w:t>
      </w:r>
      <w:r>
        <w:t xml:space="preserve"> </w:t>
      </w:r>
      <w:r>
        <w:t xml:space="preserve">Continue to develop and expand the "Advanced material recovery and product refurbishment program" (pzpnousdnw) to maximize material recovery and reuse, further enhancing the circularity of the product.</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(ufjrfwdeje)</dc:title>
  <dc:creator/>
  <dc:description>High-detail Product Carbon Footprint (PCF) analysis for EcoWidget Pro (ufjrfwdeje) by EcoSolutions Inc. (gllfnovdko), following GHG Protocol standards with a focus on supply chain emissions.</dc:description>
  <dc:language>en</dc:language>
  <cp:keywords/>
  <dcterms:created xsi:type="dcterms:W3CDTF">2026-05-30T20:11:14Z</dcterms:created>
  <dcterms:modified xsi:type="dcterms:W3CDTF">2026-05-30T20:11:14Z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