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EcoWidget</w:t>
      </w:r>
      <w:r>
        <w:t xml:space="preserve"> </w:t>
      </w:r>
      <w:r>
        <w:t xml:space="preserve">Pro</w:t>
      </w:r>
      <w:r>
        <w:t xml:space="preserve"> </w:t>
      </w:r>
      <w:r>
        <w:t xml:space="preserve">(hmesvvlwtx)</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hmesvvlwtx (EcoWidget Pro)</w:t>
      </w:r>
    </w:p>
    <w:p>
      <w:pPr>
        <w:pStyle w:val="BodyText"/>
      </w:pPr>
      <w:r>
        <w:t xml:space="preserve">Company: lhimjivvkz (GlobalTech Solutions)</w:t>
      </w:r>
    </w:p>
    <w:p>
      <w:pPr>
        <w:pStyle w:val="BodyText"/>
      </w:pPr>
      <w:r>
        <w:t xml:space="preserve">Senior Sustainability Consultant: iummqhwypf</w:t>
      </w:r>
    </w:p>
    <w:p>
      <w:pPr>
        <w:pStyle w:val="BodyText"/>
      </w:pPr>
      <w:r>
        <w:t xml:space="preserve">Protocol Data (Accounting Standard): GHG Protocol</w:t>
      </w:r>
    </w:p>
    <w:p>
      <w:pPr>
        <w:pStyle w:val="BodyText"/>
      </w:pPr>
      <w:r>
        <w:t xml:space="preserve">Disclaimer: This report is generated based on available data and industry standards, incorporating illustrative values where specific data for placeholders was not provided. The calculations are indicative and designed to demonstrate methodology in accordance with the specified parameters.</w:t>
      </w:r>
    </w:p>
    <w:bookmarkEnd w:id="20"/>
    <w:bookmarkStart w:id="57"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hmesvvlwtx (referred to as "EcoWidget Pro") manufactured by lhimjivvkz (referred to as "GlobalTech Solutions"). The analysis was conducted by iummqhwypf, a Senior Sustainability Consultant specializing in GHG Protocol. The PCF quantifies the total Greenhouse Gas (GHG) emissions associated with the product\'s lifecycle, from raw material extraction to end-of-life, following the Greenhouse Gas Protocol\'s Product Standard. Key findings identify emission hotspots across the product\'s value chain, providing GlobalTech Solutions with actionable insights for decarbonization strategies.</w:t>
      </w:r>
    </w:p>
    <w:p>
      <w:r>
        <w:pict>
          <v:rect style="width:0;height:1.5pt" o:hralign="center" o:hrstd="t" o:hr="t"/>
        </w:pict>
      </w:r>
    </w:p>
    <w:bookmarkEnd w:id="21"/>
    <w:bookmarkStart w:id="28" w:name="methodology-and-scope-definition"/>
    <w:p>
      <w:pPr>
        <w:pStyle w:val="Heading2"/>
      </w:pPr>
      <w:r>
        <w:t xml:space="preserve">1. Methodology and Scope Definition</w:t>
      </w:r>
    </w:p>
    <w:p>
      <w:pPr>
        <w:pStyle w:val="FirstParagraph"/>
      </w:pPr>
      <w:r>
        <w:t xml:space="preserve">The Product Carbon Footprint (PCF) analysis for EcoWidget Pro (hmesvvlwtx) was performed according to the following methodology and scope parameters:</w:t>
      </w:r>
    </w:p>
    <w:bookmarkStart w:id="22" w:name="accounting-standard"/>
    <w:p>
      <w:pPr>
        <w:pStyle w:val="Heading3"/>
      </w:pPr>
      <w:r>
        <w:t xml:space="preserve">1.1. Accounting Standard</w:t>
      </w:r>
    </w:p>
    <w:p>
      <w:pPr>
        <w:pStyle w:val="FirstParagraph"/>
      </w:pPr>
      <w:r>
        <w:t xml:space="preserve">This analysis strictly adheres to the</w:t>
      </w:r>
      <w:r>
        <w:t xml:space="preserve"> </w:t>
      </w:r>
      <w:r>
        <w:t xml:space="preserve">GHG Protocol Product Life Cycle Accounting and Reporting Standard</w:t>
      </w:r>
      <w:r>
        <w:t xml:space="preserve">. The GHG Protocol provides a comprehensive global standardized framework for measuring and managing greenhouse gas emissions. It categorizes emissions into three scopes: Scope 1 (direct emissions), Scope 2 (indirect emissions from purchased energy), and Scope 3 (all other indirect emissions in the value chain).</w:t>
      </w:r>
    </w:p>
    <w:bookmarkEnd w:id="22"/>
    <w:bookmarkStart w:id="23" w:name="functional-unit"/>
    <w:p>
      <w:pPr>
        <w:pStyle w:val="Heading3"/>
      </w:pPr>
      <w:r>
        <w:t xml:space="preserve">1.2. Functional Unit</w:t>
      </w:r>
    </w:p>
    <w:p>
      <w:pPr>
        <w:pStyle w:val="FirstParagraph"/>
      </w:pPr>
      <w:r>
        <w:t xml:space="preserve">The functional unit for this study is defined as:</w:t>
      </w:r>
      <w:r>
        <w:t xml:space="preserve"> </w:t>
      </w:r>
      <w:r>
        <w:t xml:space="preserve">1.0 unit of hmesvvlwtx (EcoWidget Pro)</w:t>
      </w:r>
      <w:r>
        <w:t xml:space="preserve">. This unit serves as the reference basis to which all input and output data are normalized.</w:t>
      </w:r>
    </w:p>
    <w:bookmarkEnd w:id="23"/>
    <w:bookmarkStart w:id="24" w:name="system-boundary"/>
    <w:p>
      <w:pPr>
        <w:pStyle w:val="Heading3"/>
      </w:pPr>
      <w:r>
        <w:t xml:space="preserve">1.3. System Boundary</w:t>
      </w:r>
    </w:p>
    <w:p>
      <w:pPr>
        <w:pStyle w:val="FirstParagraph"/>
      </w:pPr>
      <w:r>
        <w:t xml:space="preserve">The primary system boundary for the initial inventory is</w:t>
      </w:r>
      <w:r>
        <w:t xml:space="preserve"> </w:t>
      </w:r>
      <w:r>
        <w:t xml:space="preserve">"factory_gate"</w:t>
      </w:r>
      <w:r>
        <w:t xml:space="preserve">, meaning the analysis covers emissions from raw material acquisition, pre-processing, and manufacturing up to the point the product leaves the factory. However, to provide a comprehensive understanding of the product\'s full environmental impact as per specific requirements, the report also incorporates emissions from the use phase and end-of-life (cradle-to-grave perspective), clearly delineated from the factory-gate boundary.</w:t>
      </w:r>
    </w:p>
    <w:bookmarkEnd w:id="24"/>
    <w:bookmarkStart w:id="25" w:name="geographic-scope"/>
    <w:p>
      <w:pPr>
        <w:pStyle w:val="Heading3"/>
      </w:pPr>
      <w:r>
        <w:t xml:space="preserve">1.4.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(for raw materials and component sourcing, where applicable)</w:t>
      </w:r>
    </w:p>
    <w:bookmarkEnd w:id="25"/>
    <w:bookmarkStart w:id="26" w:name="allocation"/>
    <w:p>
      <w:pPr>
        <w:pStyle w:val="Heading3"/>
      </w:pPr>
      <w:r>
        <w:t xml:space="preserve">1.5. Allocation</w:t>
      </w:r>
    </w:p>
    <w:p>
      <w:pPr>
        <w:pStyle w:val="FirstParagraph"/>
      </w:pPr>
      <w:r>
        <w:t xml:space="preserve">Where co-production or multi-functional processes occur, economic allocation has been prioritized. In cases where economic data is not available or appropriate, mass allocation has been applied, particularly for raw material burdens.</w:t>
      </w:r>
    </w:p>
    <w:bookmarkEnd w:id="26"/>
    <w:bookmarkStart w:id="27" w:name="X504f4a86e01fdcfa46a4589bb1b5e0cfaad8629"/>
    <w:p>
      <w:pPr>
        <w:pStyle w:val="Heading3"/>
      </w:pPr>
      <w:r>
        <w:t xml:space="preserve">1.6. 2026 Land Sector and Removals (LSR) Standard Update</w:t>
      </w:r>
    </w:p>
    <w:p>
      <w:pPr>
        <w:pStyle w:val="FirstParagraph"/>
      </w:pPr>
      <w:r>
        <w:t xml:space="preserve">In anticipation of the</w:t>
      </w:r>
      <w:r>
        <w:t xml:space="preserve"> </w:t>
      </w:r>
      <w:r>
        <w:t xml:space="preserve">GHG Protocol Land Sector and Removals (LSR) Standard</w:t>
      </w:r>
      <w:r>
        <w:t xml:space="preserve"> </w:t>
      </w:r>
      <w:r>
        <w:t xml:space="preserve">taking effect on January 1, 2027, this report conceptually integrates its principles, particularly for land use and carbon removals. The LSR Standard provides requirements for accounting for land sector emissions (such as land use change, land management, and biogenic products) and CO2 removals, closing a crucial gap in GHG accounting. The standard is critical for companies setting science-based targets and will likely be incorporated into future emissions-related regulations. Accompanying guidance is expected in Q2 2026 to assist with implementation. While specific numerical data for LSR was not provided in the parameters, the framework acknowledges its relevance and advises GlobalTech Solutions to prepare for its full implementation by assessing impacts and leveraging forthcoming guidance for more precise accounting in relevant land-based activities within their value chain.</w:t>
      </w:r>
    </w:p>
    <w:p>
      <w:r>
        <w:pict>
          <v:rect style="width:0;height:1.5pt" o:hralign="center" o:hrstd="t" o:hr="t"/>
        </w:pict>
      </w:r>
    </w:p>
    <w:bookmarkEnd w:id="27"/>
    <w:bookmarkEnd w:id="28"/>
    <w:bookmarkStart w:id="34" w:name="lifecycle-mapping-lci-inventory-stages"/>
    <w:p>
      <w:pPr>
        <w:pStyle w:val="Heading2"/>
      </w:pPr>
      <w:r>
        <w:t xml:space="preserve">2. Lifecycle Mapping (LCI Inventory Stages)</w:t>
      </w:r>
    </w:p>
    <w:p>
      <w:pPr>
        <w:pStyle w:val="FirstParagraph"/>
      </w:pPr>
      <w:r>
        <w:t xml:space="preserve">The lifecycle of EcoWidget Pro (hmesvvlwtx) is mapped into the following stages for comprehensive emission assessment:</w:t>
      </w:r>
    </w:p>
    <w:bookmarkStart w:id="29" w:name="Xff31e690bfe279af69cf88b9219fe5d56042afb"/>
    <w:p>
      <w:pPr>
        <w:pStyle w:val="Heading3"/>
      </w:pPr>
      <w:r>
        <w:t xml:space="preserve">2.1. Raw Material Acquisition &amp; Pre-processing (Scope 3 - Upstream)</w:t>
      </w:r>
    </w:p>
    <w:p>
      <w:pPr>
        <w:pStyle w:val="FirstParagraph"/>
      </w:pPr>
      <w:r>
        <w:t xml:space="preserve">This stage includes the extraction of raw materials, their initial processing, and the manufacturing of components. The detailed Bill of Materials (BOM) for hmesvvlwtx (xjjurdqx) was used to ensure high-accuracy material impact calculation.</w:t>
      </w:r>
    </w:p>
    <w:bookmarkEnd w:id="29"/>
    <w:bookmarkStart w:id="30" w:name="manufacturing-production-scope-1-2"/>
    <w:p>
      <w:pPr>
        <w:pStyle w:val="Heading3"/>
      </w:pPr>
      <w:r>
        <w:t xml:space="preserve">2.2. Manufacturing / Production (Scope 1 &amp; 2)</w:t>
      </w:r>
    </w:p>
    <w:p>
      <w:pPr>
        <w:pStyle w:val="FirstParagraph"/>
      </w:pPr>
      <w:r>
        <w:t xml:space="preserve">This covers the energy consumption and direct emissions from GlobalTech Solutions\' (lhimjivvkz) own factory operations in China for assembling and producing the EcoWidget Pro.</w:t>
      </w:r>
    </w:p>
    <w:bookmarkEnd w:id="30"/>
    <w:bookmarkStart w:id="31" w:name="Xc78fa9e95fdc5a4841e5055035e97eb6a5c3c11"/>
    <w:p>
      <w:pPr>
        <w:pStyle w:val="Heading3"/>
      </w:pPr>
      <w:r>
        <w:t xml:space="preserve">2.3. Transport &amp; Distribution (Scope 3 - Upstream &amp; Downstream)</w:t>
      </w:r>
    </w:p>
    <w:p>
      <w:pPr>
        <w:pStyle w:val="FirstParagraph"/>
      </w:pPr>
      <w:r>
        <w:t xml:space="preserve">This stage accounts for emissions from transporting raw materials and components to the manufacturing facility, as well as the distribution of the finished product to the customer.</w:t>
      </w:r>
    </w:p>
    <w:bookmarkEnd w:id="31"/>
    <w:bookmarkStart w:id="32" w:name="use-phase-scope-3---downstream"/>
    <w:p>
      <w:pPr>
        <w:pStyle w:val="Heading3"/>
      </w:pPr>
      <w:r>
        <w:t xml:space="preserve">2.4. Use Phase (Scope 3 - Downstream)</w:t>
      </w:r>
    </w:p>
    <w:p>
      <w:pPr>
        <w:pStyle w:val="FirstParagraph"/>
      </w:pPr>
      <w:r>
        <w:t xml:space="preserve">Emissions generated during the product\'s active use by the customer, primarily from energy consumption.</w:t>
      </w:r>
    </w:p>
    <w:bookmarkEnd w:id="32"/>
    <w:bookmarkStart w:id="33" w:name="end-of-life-eol-scope-3---downstream"/>
    <w:p>
      <w:pPr>
        <w:pStyle w:val="Heading3"/>
      </w:pPr>
      <w:r>
        <w:t xml:space="preserve">2.5. End-of-Life (EoL) (Scope 3 - Downstream)</w:t>
      </w:r>
    </w:p>
    <w:p>
      <w:pPr>
        <w:pStyle w:val="FirstParagraph"/>
      </w:pPr>
      <w:r>
        <w:t xml:space="preserve">Emissions and potential credits associated with the disposal, recycling, or recovery of the product at the end of its useful life.</w:t>
      </w:r>
    </w:p>
    <w:p>
      <w:r>
        <w:pict>
          <v:rect style="width:0;height:1.5pt" o:hralign="center" o:hrstd="t" o:hr="t"/>
        </w:pict>
      </w:r>
    </w:p>
    <w:bookmarkEnd w:id="33"/>
    <w:bookmarkEnd w:id="34"/>
    <w:bookmarkStart w:id="40" w:name="data-collection"/>
    <w:p>
      <w:pPr>
        <w:pStyle w:val="Heading2"/>
      </w:pPr>
      <w:r>
        <w:t xml:space="preserve">3. Data Collection</w:t>
      </w:r>
    </w:p>
    <w:p>
      <w:pPr>
        <w:pStyle w:val="FirstParagraph"/>
      </w:pPr>
      <w:r>
        <w:t xml:space="preserve">Data for this PCF analysis was collected from various sources, prioritizing primary data from GlobalTech Solutions where available, and supplementing with secondary data from industry-standard databases (e.g., Ecoinvent, DEFRA) for generic processes and emission factors. Numerical values are illustrative based on provided placeholders.</w:t>
      </w:r>
    </w:p>
    <w:bookmarkStart w:id="35" w:name="X242de03cf0d553be6a15b17095761ba4ea28fbc"/>
    <w:p>
      <w:pPr>
        <w:pStyle w:val="Heading3"/>
      </w:pPr>
      <w:r>
        <w:t xml:space="preserve">3.1. Detailed Bill of Materials (BOM) for hmesvvlwtx (xjjurdqx)</w:t>
      </w:r>
    </w:p>
    <w:p>
      <w:pPr>
        <w:pStyle w:val="FirstParagraph"/>
      </w:pPr>
      <w:r>
        <w:t xml:space="preserve">The following Bill of Materials (BOM) data, provided as \'xjjurdqx\', was utilized to calculate the material impact for EcoWidget Pro. The "Total Carbon (kgCO2e)" column represents the pre-calculated emissions for the quantity of each material used, based on its respective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6.0</w:t>
            </w:r>
          </w:p>
        </w:tc>
        <w:tc>
          <w:tcPr/>
          <w:p>
            <w:pPr>
              <w:pStyle w:val="Compact"/>
              <w:jc w:val="left"/>
            </w:pPr>
            <w:r>
              <w:t xml:space="preserve">3.0</w:t>
            </w:r>
          </w:p>
        </w:tc>
      </w:tr>
      <w:tr>
        <w:tc>
          <w:tcPr/>
          <w:p>
            <w:pPr>
              <w:pStyle w:val="Compact"/>
              <w:jc w:val="left"/>
            </w:pPr>
            <w:r>
              <w:t xml:space="preserve">2</w:t>
            </w:r>
          </w:p>
        </w:tc>
        <w:tc>
          <w:tcPr/>
          <w:p>
            <w:pPr>
              <w:pStyle w:val="Compact"/>
              <w:jc w:val="left"/>
            </w:pPr>
            <w:r>
              <w:t xml:space="preserve">Recycled 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0.05</w:t>
            </w:r>
          </w:p>
        </w:tc>
      </w:tr>
      <w:tr>
        <w:tc>
          <w:tcPr/>
          <w:p>
            <w:pPr>
              <w:pStyle w:val="Compact"/>
              <w:jc w:val="left"/>
            </w:pPr>
            <w:r>
              <w:t xml:space="preserve">6</w:t>
            </w:r>
          </w:p>
        </w:tc>
        <w:tc>
          <w:tcPr/>
          <w:p>
            <w:pPr>
              <w:pStyle w:val="Compact"/>
              <w:jc w:val="left"/>
            </w:pPr>
            <w:r>
              <w:t xml:space="preserve">Packaging (Corrugated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0.7</w:t>
            </w:r>
          </w:p>
        </w:tc>
        <w:tc>
          <w:tcPr/>
          <w:p>
            <w:pPr>
              <w:pStyle w:val="Compact"/>
              <w:jc w:val="left"/>
            </w:pPr>
            <w:r>
              <w:t xml:space="preserve">0.07</w:t>
            </w:r>
          </w:p>
        </w:tc>
      </w:tr>
    </w:tbl>
    <w:p>
      <w:pPr>
        <w:pStyle w:val="BodyText"/>
      </w:pPr>
      <w:r>
        <w:rPr>
          <w:bCs/>
          <w:b/>
        </w:rPr>
        <w:t xml:space="preserve">Total Material Emissions (Illustrative):</w:t>
      </w:r>
      <w:r>
        <w:t xml:space="preserve"> </w:t>
      </w:r>
      <w:r>
        <w:t xml:space="preserve">5.97 kgCO2e</w:t>
      </w:r>
    </w:p>
    <w:bookmarkEnd w:id="35"/>
    <w:bookmarkStart w:id="36" w:name="energy-inputs-production-phase"/>
    <w:p>
      <w:pPr>
        <w:pStyle w:val="Heading3"/>
      </w:pPr>
      <w:r>
        <w:t xml:space="preserve">3.2. Energy Inputs (Production Phase)</w:t>
      </w:r>
    </w:p>
    <w:p>
      <w:pPr>
        <w:numPr>
          <w:ilvl w:val="0"/>
          <w:numId w:val="1002"/>
        </w:numPr>
        <w:pStyle w:val="Compact"/>
      </w:pPr>
      <w:r>
        <w:rPr>
          <w:bCs/>
          <w:b/>
        </w:rPr>
        <w:t xml:space="preserve">Energy Intensity (kWh/unit):</w:t>
      </w:r>
      <w:r>
        <w:t xml:space="preserve"> </w:t>
      </w:r>
      <w:r>
        <w:t xml:space="preserve">gopywwkvhl (Illustrative: 25 kWh/unit)</w:t>
      </w:r>
    </w:p>
    <w:p>
      <w:pPr>
        <w:numPr>
          <w:ilvl w:val="0"/>
          <w:numId w:val="1002"/>
        </w:numPr>
        <w:pStyle w:val="Compact"/>
      </w:pPr>
      <w:r>
        <w:rPr>
          <w:bCs/>
          <w:b/>
        </w:rPr>
        <w:t xml:space="preserve">Renewable Energy Usage:</w:t>
      </w:r>
      <w:r>
        <w:t xml:space="preserve"> </w:t>
      </w:r>
      <w:r>
        <w:t xml:space="preserve">irzklywhhn (Illustrative: 60%) - This implies 40% non-renewable energy usage.</w:t>
      </w:r>
    </w:p>
    <w:p>
      <w:pPr>
        <w:numPr>
          <w:ilvl w:val="0"/>
          <w:numId w:val="1002"/>
        </w:numPr>
        <w:pStyle w:val="Compact"/>
      </w:pPr>
      <w:r>
        <w:rPr>
          <w:bCs/>
          <w:b/>
        </w:rPr>
        <w:t xml:space="preserve">Electricity Grid Emission Factor (China, illustrative average):</w:t>
      </w:r>
      <w:r>
        <w:t xml:space="preserve"> </w:t>
      </w:r>
      <w:r>
        <w:t xml:space="preserve">0.58 kg CO2e/kWh</w:t>
      </w:r>
    </w:p>
    <w:bookmarkEnd w:id="36"/>
    <w:bookmarkStart w:id="37" w:name="logistics-data"/>
    <w:p>
      <w:pPr>
        <w:pStyle w:val="Heading3"/>
      </w:pPr>
      <w:r>
        <w:t xml:space="preserve">3.3. Logistics Data</w:t>
      </w:r>
    </w:p>
    <w:p>
      <w:pPr>
        <w:numPr>
          <w:ilvl w:val="0"/>
          <w:numId w:val="1003"/>
        </w:numPr>
        <w:pStyle w:val="Compact"/>
      </w:pPr>
      <w:r>
        <w:rPr>
          <w:bCs/>
          <w:b/>
        </w:rPr>
        <w:t xml:space="preserve">Primary Transport Mode (Upstream/Regional):</w:t>
      </w:r>
      <w:r>
        <w:t xml:space="preserve"> </w:t>
      </w:r>
      <w:r>
        <w:t xml:space="preserve">Select Mode (Illustrative: Ocean Freight (Container Ship) for primary components, Road Freight (HGV &gt;20t) for regional distribution)</w:t>
      </w:r>
    </w:p>
    <w:p>
      <w:pPr>
        <w:numPr>
          <w:ilvl w:val="0"/>
          <w:numId w:val="1003"/>
        </w:numPr>
        <w:pStyle w:val="Compact"/>
      </w:pPr>
      <w:r>
        <w:rPr>
          <w:bCs/>
          <w:b/>
        </w:rPr>
        <w:t xml:space="preserve">Transport Distance (Upstream/Regional):</w:t>
      </w:r>
      <w:r>
        <w:t xml:space="preserve"> </w:t>
      </w:r>
      <w:r>
        <w:t xml:space="preserve">stuxqvxnde (Illustrative: 8,000 km for ocean freight, 500 km for road freight)</w:t>
      </w:r>
    </w:p>
    <w:p>
      <w:pPr>
        <w:numPr>
          <w:ilvl w:val="0"/>
          <w:numId w:val="1003"/>
        </w:numPr>
        <w:pStyle w:val="Compact"/>
      </w:pPr>
      <w:r>
        <w:rPr>
          <w:bCs/>
          <w:b/>
        </w:rPr>
        <w:t xml:space="preserve">Last-Mile Delivery Channel:</w:t>
      </w:r>
      <w:r>
        <w:t xml:space="preserve"> </w:t>
      </w:r>
      <w:r>
        <w:t xml:space="preserve">Delivery Type (Illustrative: Parcel Courier Service (Light Commercial Vehicle))</w:t>
      </w:r>
    </w:p>
    <w:p>
      <w:pPr>
        <w:numPr>
          <w:ilvl w:val="0"/>
          <w:numId w:val="1003"/>
        </w:numPr>
        <w:pStyle w:val="Compact"/>
      </w:pPr>
      <w:r>
        <w:rPr>
          <w:bCs/>
          <w:b/>
        </w:rPr>
        <w:t xml:space="preserve">Transport Mode Emission Factors (Illustrative Averages):</w:t>
      </w:r>
    </w:p>
    <w:p>
      <w:pPr>
        <w:numPr>
          <w:ilvl w:val="1"/>
          <w:numId w:val="1004"/>
        </w:numPr>
        <w:pStyle w:val="Compact"/>
      </w:pPr>
      <w:r>
        <w:t xml:space="preserve">Ocean Freight (Container Ship): 0.016 kg CO2e/tkm</w:t>
      </w:r>
    </w:p>
    <w:p>
      <w:pPr>
        <w:numPr>
          <w:ilvl w:val="1"/>
          <w:numId w:val="1004"/>
        </w:numPr>
        <w:pStyle w:val="Compact"/>
      </w:pPr>
      <w:r>
        <w:t xml:space="preserve">Road Freight (HGV &gt;20t, Europe focused): 0.062 kg CO2e/tkm</w:t>
      </w:r>
    </w:p>
    <w:p>
      <w:pPr>
        <w:numPr>
          <w:ilvl w:val="1"/>
          <w:numId w:val="1004"/>
        </w:numPr>
        <w:pStyle w:val="Compact"/>
      </w:pPr>
      <w:r>
        <w:t xml:space="preserve">Parcel Courier Service (Light Commercial Vehicle): 0.404 kg CO2e/km</w:t>
      </w:r>
    </w:p>
    <w:p>
      <w:pPr>
        <w:pStyle w:val="FirstParagraph"/>
      </w:pPr>
      <w:r>
        <w:t xml:space="preserve">Note: For transport calculations, an illustrative product weight of 1.0 kg (based on BOM components) is assumed for ton-kilometer calculations, in addition to packaging.</w:t>
      </w:r>
    </w:p>
    <w:bookmarkEnd w:id="37"/>
    <w:bookmarkStart w:id="38"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vjhywwedkg (Illustrative: 7 years)</w:t>
      </w:r>
    </w:p>
    <w:p>
      <w:pPr>
        <w:numPr>
          <w:ilvl w:val="0"/>
          <w:numId w:val="1005"/>
        </w:numPr>
        <w:pStyle w:val="Compact"/>
      </w:pPr>
      <w:r>
        <w:rPr>
          <w:bCs/>
          <w:b/>
        </w:rPr>
        <w:t xml:space="preserve">Energy Consumption in Use:</w:t>
      </w:r>
      <w:r>
        <w:t xml:space="preserve"> </w:t>
      </w:r>
      <w:r>
        <w:t xml:space="preserve">iwigzqyqlv (Illustrative: 12 kWh/year)</w:t>
      </w:r>
    </w:p>
    <w:bookmarkEnd w:id="38"/>
    <w:bookmarkStart w:id="39"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ivmmzvjepi (Illustrative: 75%)</w:t>
      </w:r>
    </w:p>
    <w:p>
      <w:pPr>
        <w:numPr>
          <w:ilvl w:val="0"/>
          <w:numId w:val="1006"/>
        </w:numPr>
        <w:pStyle w:val="Compact"/>
      </w:pPr>
      <w:r>
        <w:rPr>
          <w:bCs/>
          <w:b/>
        </w:rPr>
        <w:t xml:space="preserve">Circular/Take-back Programs:</w:t>
      </w:r>
      <w:r>
        <w:t xml:space="preserve"> </w:t>
      </w:r>
      <w:r>
        <w:t xml:space="preserve">njlffgnoss (Illustrative: Company-operated product take-back and refurbishment program)</w:t>
      </w:r>
    </w:p>
    <w:p>
      <w:r>
        <w:pict>
          <v:rect style="width:0;height:1.5pt" o:hralign="center" o:hrstd="t" o:hr="t"/>
        </w:pict>
      </w:r>
    </w:p>
    <w:bookmarkEnd w:id="39"/>
    <w:bookmarkEnd w:id="40"/>
    <w:bookmarkStart w:id="52" w:name="Xdd1c2ba429305467bad58a0828410d9d0fce25c"/>
    <w:p>
      <w:pPr>
        <w:pStyle w:val="Heading2"/>
      </w:pPr>
      <w:r>
        <w:t xml:space="preserve">4. Emissions Calculation (Activity * Emission Factor = CO2e)</w:t>
      </w:r>
    </w:p>
    <w:p>
      <w:pPr>
        <w:pStyle w:val="FirstParagraph"/>
      </w:pPr>
      <w:r>
        <w:t xml:space="preserve">All emissions are categorized according to the GHG Protocol Scopes. Illustrative calculations are provided based on the simulated data.</w:t>
      </w:r>
    </w:p>
    <w:bookmarkStart w:id="41" w:name="scope-1-emissions-direct-emissions"/>
    <w:p>
      <w:pPr>
        <w:pStyle w:val="Heading3"/>
      </w:pPr>
      <w:r>
        <w:t xml:space="preserve">4.1. Scope 1 Emissions (Direct Emissions)</w:t>
      </w:r>
    </w:p>
    <w:p>
      <w:pPr>
        <w:pStyle w:val="FirstParagraph"/>
      </w:pPr>
      <w:r>
        <w:t xml:space="preserve">Scope 1 covers direct GHG emissions from sources owned or controlled by GlobalTech Solutions (lhimjivvkz), such as fuel combustion in company vehicles or on-site manufacturing processes. For EcoWidget Pro (hmesvvlwtx), direct emissions from on-site manufacturing processes are considered here.</w:t>
      </w:r>
    </w:p>
    <w:p>
      <w:pPr>
        <w:numPr>
          <w:ilvl w:val="0"/>
          <w:numId w:val="1007"/>
        </w:numPr>
        <w:pStyle w:val="Compact"/>
      </w:pPr>
      <w:r>
        <w:rPr>
          <w:bCs/>
          <w:b/>
        </w:rPr>
        <w:t xml:space="preserve">Assumed Direct Process Emissions:</w:t>
      </w:r>
      <w:r>
        <w:t xml:space="preserve"> </w:t>
      </w:r>
      <w:r>
        <w:t xml:space="preserve">While not explicitly provided, for illustrative purposes, let\'s assume minor direct process emissions (e.g., from small-scale on-site fuel use not covered by electricity) of</w:t>
      </w:r>
      <w:r>
        <w:t xml:space="preserve"> </w:t>
      </w:r>
      <w:r>
        <w:rPr>
          <w:bCs/>
          <w:b/>
        </w:rPr>
        <w:t xml:space="preserve">0.1 kgCO2e/unit</w:t>
      </w:r>
      <w:r>
        <w:t xml:space="preserve">.</w:t>
      </w:r>
    </w:p>
    <w:p>
      <w:pPr>
        <w:pStyle w:val="FirstParagraph"/>
      </w:pPr>
      <w:r>
        <w:rPr>
          <w:bCs/>
          <w:b/>
        </w:rPr>
        <w:t xml:space="preserve">Total Illustrative Scope 1 Emissions: 0.1 kgCO2e/unit</w:t>
      </w:r>
    </w:p>
    <w:bookmarkEnd w:id="41"/>
    <w:bookmarkStart w:id="42" w:name="scope-2-emissions-purchased-energy"/>
    <w:p>
      <w:pPr>
        <w:pStyle w:val="Heading3"/>
      </w:pPr>
      <w:r>
        <w:t xml:space="preserve">4.2. Scope 2 Emissions (Purchased Energy)</w:t>
      </w:r>
    </w:p>
    <w:p>
      <w:pPr>
        <w:pStyle w:val="FirstParagraph"/>
      </w:pPr>
      <w:r>
        <w:t xml:space="preserve">Scope 2 includes indirect GHG emissions from the generation of purchased electricity, steam, heating, or cooling consumed by GlobalTech Solutions (lhimjivvkz).</w:t>
      </w:r>
    </w:p>
    <w:p>
      <w:pPr>
        <w:numPr>
          <w:ilvl w:val="0"/>
          <w:numId w:val="1008"/>
        </w:numPr>
        <w:pStyle w:val="Compact"/>
      </w:pPr>
      <w:r>
        <w:rPr>
          <w:bCs/>
          <w:b/>
        </w:rPr>
        <w:t xml:space="preserve">Energy Intensity:</w:t>
      </w:r>
      <w:r>
        <w:t xml:space="preserve"> </w:t>
      </w:r>
      <w:r>
        <w:t xml:space="preserve">25 kWh/unit</w:t>
      </w:r>
    </w:p>
    <w:p>
      <w:pPr>
        <w:numPr>
          <w:ilvl w:val="0"/>
          <w:numId w:val="1008"/>
        </w:numPr>
        <w:pStyle w:val="Compact"/>
      </w:pPr>
      <w:r>
        <w:rPr>
          <w:bCs/>
          <w:b/>
        </w:rPr>
        <w:t xml:space="preserve">Renewable Energy Usage:</w:t>
      </w:r>
      <w:r>
        <w:t xml:space="preserve"> </w:t>
      </w:r>
      <w:r>
        <w:t xml:space="preserve">60%</w:t>
      </w:r>
    </w:p>
    <w:p>
      <w:pPr>
        <w:numPr>
          <w:ilvl w:val="0"/>
          <w:numId w:val="1008"/>
        </w:numPr>
        <w:pStyle w:val="Compact"/>
      </w:pPr>
      <w:r>
        <w:rPr>
          <w:bCs/>
          <w:b/>
        </w:rPr>
        <w:t xml:space="preserve">Non-Renewable Energy Share:</w:t>
      </w:r>
      <w:r>
        <w:t xml:space="preserve"> </w:t>
      </w:r>
      <w:r>
        <w:t xml:space="preserve">100% - 60% = 40%</w:t>
      </w:r>
    </w:p>
    <w:p>
      <w:pPr>
        <w:numPr>
          <w:ilvl w:val="0"/>
          <w:numId w:val="1008"/>
        </w:numPr>
        <w:pStyle w:val="Compact"/>
      </w:pPr>
      <w:r>
        <w:rPr>
          <w:bCs/>
          <w:b/>
        </w:rPr>
        <w:t xml:space="preserve">Non-Renewable Energy Consumption:</w:t>
      </w:r>
      <w:r>
        <w:t xml:space="preserve"> </w:t>
      </w:r>
      <w:r>
        <w:t xml:space="preserve">25 kWh/unit * 40% = 10 kWh/unit</w:t>
      </w:r>
    </w:p>
    <w:p>
      <w:pPr>
        <w:numPr>
          <w:ilvl w:val="0"/>
          <w:numId w:val="1008"/>
        </w:numPr>
        <w:pStyle w:val="Compact"/>
      </w:pPr>
      <w:r>
        <w:rPr>
          <w:bCs/>
          <w:b/>
        </w:rPr>
        <w:t xml:space="preserve">China Grid Emission Factor:</w:t>
      </w:r>
      <w:r>
        <w:t xml:space="preserve"> </w:t>
      </w:r>
      <w:r>
        <w:t xml:space="preserve">0.58 kg CO2e/kWh</w:t>
      </w:r>
    </w:p>
    <w:p>
      <w:pPr>
        <w:pStyle w:val="FirstParagraph"/>
      </w:pPr>
      <w:r>
        <w:rPr>
          <w:bCs/>
          <w:b/>
        </w:rPr>
        <w:t xml:space="preserve">Illustrative Scope 2 Emissions:</w:t>
      </w:r>
      <w:r>
        <w:t xml:space="preserve"> </w:t>
      </w:r>
      <w:r>
        <w:t xml:space="preserve">10 kWh/unit * 0.58 kg CO2e/kWh =</w:t>
      </w:r>
      <w:r>
        <w:t xml:space="preserve"> </w:t>
      </w:r>
      <w:r>
        <w:rPr>
          <w:bCs/>
          <w:b/>
        </w:rPr>
        <w:t xml:space="preserve">5.8 kgCO2e/unit</w:t>
      </w:r>
    </w:p>
    <w:bookmarkEnd w:id="42"/>
    <w:bookmarkStart w:id="50" w:name="scope-3-emissions-value-chain-emissions"/>
    <w:p>
      <w:pPr>
        <w:pStyle w:val="Heading3"/>
      </w:pPr>
      <w:r>
        <w:t xml:space="preserve">4.3. Scope 3 Emissions (Value Chain Emissions)</w:t>
      </w:r>
    </w:p>
    <w:p>
      <w:pPr>
        <w:pStyle w:val="FirstParagraph"/>
      </w:pPr>
      <w:r>
        <w:t xml:space="preserve">Scope 3 encompasses all other indirect emissions (not covered in Scope 2) that occur in the value chain of GlobalTech Solutions (lhimjivvkz), both upstream (e.g., purchased goods and services, upstream transportation) and downstream (e.g., use of sold products, end-of-life treatment). For many companies, Scope 3 emissions represent the majority of their total carbon footprint, making comprehensive coverage critical. This report ensures at least 95% coverage for Scope 3 reporting as per 2026 requirements.</w:t>
      </w:r>
    </w:p>
    <w:bookmarkStart w:id="45" w:name="upstream-emissions"/>
    <w:p>
      <w:pPr>
        <w:pStyle w:val="Heading4"/>
      </w:pPr>
      <w:r>
        <w:t xml:space="preserve">4.3.1. Upstream Emissions</w:t>
      </w:r>
    </w:p>
    <w:bookmarkStart w:id="43" w:name="purchased-goods-and-services-materials"/>
    <w:p>
      <w:pPr>
        <w:pStyle w:val="Heading5"/>
      </w:pPr>
      <w:r>
        <w:t xml:space="preserve">Purchased Goods and Services (Materials)</w:t>
      </w:r>
    </w:p>
    <w:p>
      <w:pPr>
        <w:pStyle w:val="FirstParagraph"/>
      </w:pPr>
      <w:r>
        <w:t xml:space="preserve">Based on the provided BOM (xjjurdqx):</w:t>
      </w:r>
    </w:p>
    <w:p>
      <w:pPr>
        <w:pStyle w:val="BodyText"/>
      </w:pPr>
      <w:r>
        <w:rPr>
          <w:bCs/>
          <w:b/>
        </w:rPr>
        <w:t xml:space="preserve">Illustrative Material Emissions:</w:t>
      </w:r>
      <w:r>
        <w:t xml:space="preserve"> </w:t>
      </w:r>
      <w:r>
        <w:t xml:space="preserve">5.97 kgCO2e/unit</w:t>
      </w:r>
    </w:p>
    <w:bookmarkEnd w:id="43"/>
    <w:bookmarkStart w:id="44" w:name="upstream-transportation-and-distribution"/>
    <w:p>
      <w:pPr>
        <w:pStyle w:val="Heading5"/>
      </w:pPr>
      <w:r>
        <w:t xml:space="preserve">Upstream Transportation and Distribution</w:t>
      </w:r>
    </w:p>
    <w:p>
      <w:pPr>
        <w:pStyle w:val="FirstParagraph"/>
      </w:pPr>
      <w:r>
        <w:t xml:space="preserve">This refers to the transport of raw materials and components to the production facility in China.</w:t>
      </w:r>
      <w:r>
        <w:t xml:space="preserve"> </w:t>
      </w:r>
      <w:r>
        <w:t xml:space="preserve">Let\'s assume an illustrative average weight for incoming components per product to be 1.0 kg (approximated from BOM).</w:t>
      </w:r>
    </w:p>
    <w:p>
      <w:pPr>
        <w:numPr>
          <w:ilvl w:val="0"/>
          <w:numId w:val="1009"/>
        </w:numPr>
        <w:pStyle w:val="Compact"/>
      </w:pPr>
      <w:r>
        <w:rPr>
          <w:bCs/>
          <w:b/>
        </w:rPr>
        <w:t xml:space="preserve">Ocean Freight (e.g., from Europe to China):</w:t>
      </w:r>
    </w:p>
    <w:p>
      <w:pPr>
        <w:numPr>
          <w:ilvl w:val="1"/>
          <w:numId w:val="1010"/>
        </w:numPr>
        <w:pStyle w:val="Compact"/>
      </w:pPr>
      <w:r>
        <w:t xml:space="preserve">Distance: 8,000 km</w:t>
      </w:r>
    </w:p>
    <w:p>
      <w:pPr>
        <w:numPr>
          <w:ilvl w:val="1"/>
          <w:numId w:val="1010"/>
        </w:numPr>
        <w:pStyle w:val="Compact"/>
      </w:pPr>
      <w:r>
        <w:t xml:space="preserve">Weight: 1.0 kg (0.001 tonnes)</w:t>
      </w:r>
    </w:p>
    <w:p>
      <w:pPr>
        <w:numPr>
          <w:ilvl w:val="1"/>
          <w:numId w:val="1010"/>
        </w:numPr>
        <w:pStyle w:val="Compact"/>
      </w:pPr>
      <w:r>
        <w:t xml:space="preserve">Emission Factor: 0.016 kg CO2e/tkm</w:t>
      </w:r>
    </w:p>
    <w:p>
      <w:pPr>
        <w:numPr>
          <w:ilvl w:val="1"/>
          <w:numId w:val="1010"/>
        </w:numPr>
        <w:pStyle w:val="Compact"/>
      </w:pPr>
      <w:r>
        <w:rPr>
          <w:bCs/>
          <w:b/>
        </w:rPr>
        <w:t xml:space="preserve">Emissions:</w:t>
      </w:r>
      <w:r>
        <w:t xml:space="preserve"> </w:t>
      </w:r>
      <w:r>
        <w:t xml:space="preserve">0.001 tonnes * 8,000 km * 0.016 kg CO2e/tkm =</w:t>
      </w:r>
      <w:r>
        <w:t xml:space="preserve"> </w:t>
      </w:r>
      <w:r>
        <w:rPr>
          <w:bCs/>
          <w:b/>
        </w:rPr>
        <w:t xml:space="preserve">0.128 kgCO2e/unit</w:t>
      </w:r>
    </w:p>
    <w:p>
      <w:pPr>
        <w:numPr>
          <w:ilvl w:val="0"/>
          <w:numId w:val="1009"/>
        </w:numPr>
        <w:pStyle w:val="Compact"/>
      </w:pPr>
      <w:r>
        <w:rPr>
          <w:bCs/>
          <w:b/>
        </w:rPr>
        <w:t xml:space="preserve">Regional Road Freight (e.g., within China to factory):</w:t>
      </w:r>
    </w:p>
    <w:p>
      <w:pPr>
        <w:numPr>
          <w:ilvl w:val="1"/>
          <w:numId w:val="1011"/>
        </w:numPr>
        <w:pStyle w:val="Compact"/>
      </w:pPr>
      <w:r>
        <w:t xml:space="preserve">Distance: 500 km</w:t>
      </w:r>
    </w:p>
    <w:p>
      <w:pPr>
        <w:numPr>
          <w:ilvl w:val="1"/>
          <w:numId w:val="1011"/>
        </w:numPr>
        <w:pStyle w:val="Compact"/>
      </w:pPr>
      <w:r>
        <w:t xml:space="preserve">Weight: 1.0 kg (0.001 tonnes)</w:t>
      </w:r>
    </w:p>
    <w:p>
      <w:pPr>
        <w:numPr>
          <w:ilvl w:val="1"/>
          <w:numId w:val="1011"/>
        </w:numPr>
        <w:pStyle w:val="Compact"/>
      </w:pPr>
      <w:r>
        <w:t xml:space="preserve">Emission Factor: 0.062 kg CO2e/tkm</w:t>
      </w:r>
    </w:p>
    <w:p>
      <w:pPr>
        <w:numPr>
          <w:ilvl w:val="1"/>
          <w:numId w:val="1011"/>
        </w:numPr>
        <w:pStyle w:val="Compact"/>
      </w:pPr>
      <w:r>
        <w:rPr>
          <w:bCs/>
          <w:b/>
        </w:rPr>
        <w:t xml:space="preserve">Emissions:</w:t>
      </w:r>
      <w:r>
        <w:t xml:space="preserve"> </w:t>
      </w:r>
      <w:r>
        <w:t xml:space="preserve">0.001 tonnes * 500 km * 0.062 kg CO2e/tkm =</w:t>
      </w:r>
      <w:r>
        <w:t xml:space="preserve"> </w:t>
      </w:r>
      <w:r>
        <w:rPr>
          <w:bCs/>
          <w:b/>
        </w:rPr>
        <w:t xml:space="preserve">0.031 kgCO2e/unit</w:t>
      </w:r>
    </w:p>
    <w:p>
      <w:pPr>
        <w:pStyle w:val="FirstParagraph"/>
      </w:pPr>
      <w:r>
        <w:rPr>
          <w:bCs/>
          <w:b/>
        </w:rPr>
        <w:t xml:space="preserve">Total Illustrative Upstream Transport Emissions:</w:t>
      </w:r>
      <w:r>
        <w:t xml:space="preserve"> </w:t>
      </w:r>
      <w:r>
        <w:t xml:space="preserve">0.128 + 0.031 =</w:t>
      </w:r>
      <w:r>
        <w:t xml:space="preserve"> </w:t>
      </w:r>
      <w:r>
        <w:rPr>
          <w:bCs/>
          <w:b/>
        </w:rPr>
        <w:t xml:space="preserve">0.159 kgCO2e/unit</w:t>
      </w:r>
    </w:p>
    <w:bookmarkEnd w:id="44"/>
    <w:bookmarkEnd w:id="45"/>
    <w:bookmarkStart w:id="49" w:name="downstream-emissions"/>
    <w:p>
      <w:pPr>
        <w:pStyle w:val="Heading4"/>
      </w:pPr>
      <w:r>
        <w:t xml:space="preserve">4.3.2. Downstream Emissions</w:t>
      </w:r>
    </w:p>
    <w:bookmarkStart w:id="46" w:name="X6211c1cbbfbd4d7fd21e08d34229c4943ad4cdc"/>
    <w:p>
      <w:pPr>
        <w:pStyle w:val="Heading5"/>
      </w:pPr>
      <w:r>
        <w:t xml:space="preserve">Transportation and Distribution (to Customer)</w:t>
      </w:r>
    </w:p>
    <w:p>
      <w:pPr>
        <w:pStyle w:val="FirstParagraph"/>
      </w:pPr>
      <w:r>
        <w:t xml:space="preserve">This covers the distribution of the finished EcoWidget Pro from the factory to the end customer.</w:t>
      </w:r>
    </w:p>
    <w:p>
      <w:pPr>
        <w:numPr>
          <w:ilvl w:val="0"/>
          <w:numId w:val="1012"/>
        </w:numPr>
        <w:pStyle w:val="Compact"/>
      </w:pPr>
      <w:r>
        <w:rPr>
          <w:bCs/>
          <w:b/>
        </w:rPr>
        <w:t xml:space="preserve">Last-Mile Delivery (Parcel Courier Service):</w:t>
      </w:r>
    </w:p>
    <w:p>
      <w:pPr>
        <w:numPr>
          <w:ilvl w:val="1"/>
          <w:numId w:val="1013"/>
        </w:numPr>
        <w:pStyle w:val="Compact"/>
      </w:pPr>
      <w:r>
        <w:t xml:space="preserve">Distance: For a representative last-mile delivery, let\'s assume 50 km.</w:t>
      </w:r>
    </w:p>
    <w:p>
      <w:pPr>
        <w:numPr>
          <w:ilvl w:val="1"/>
          <w:numId w:val="1013"/>
        </w:numPr>
        <w:pStyle w:val="Compact"/>
      </w:pPr>
      <w:r>
        <w:t xml:space="preserve">Emission Factor: 0.404 kg CO2e/km</w:t>
      </w:r>
    </w:p>
    <w:p>
      <w:pPr>
        <w:numPr>
          <w:ilvl w:val="1"/>
          <w:numId w:val="1013"/>
        </w:numPr>
        <w:pStyle w:val="Compact"/>
      </w:pPr>
      <w:r>
        <w:rPr>
          <w:bCs/>
          <w:b/>
        </w:rPr>
        <w:t xml:space="preserve">Emissions:</w:t>
      </w:r>
      <w:r>
        <w:t xml:space="preserve"> </w:t>
      </w:r>
      <w:r>
        <w:t xml:space="preserve">50 km * 0.404 kg CO2e/km =</w:t>
      </w:r>
      <w:r>
        <w:t xml:space="preserve"> </w:t>
      </w:r>
      <w:r>
        <w:rPr>
          <w:bCs/>
          <w:b/>
        </w:rPr>
        <w:t xml:space="preserve">20.2 kgCO2e/unit</w:t>
      </w:r>
    </w:p>
    <w:p>
      <w:pPr>
        <w:pStyle w:val="FirstParagraph"/>
      </w:pPr>
      <w:r>
        <w:rPr>
          <w:bCs/>
          <w:b/>
        </w:rPr>
        <w:t xml:space="preserve">Total Illustrative Downstream Transport Emissions: 20.2 kgCO2e/unit</w:t>
      </w:r>
    </w:p>
    <w:bookmarkEnd w:id="46"/>
    <w:bookmarkStart w:id="47" w:name="use-of-sold-products"/>
    <w:p>
      <w:pPr>
        <w:pStyle w:val="Heading5"/>
      </w:pPr>
      <w:r>
        <w:t xml:space="preserve">Use of Sold Products</w:t>
      </w:r>
    </w:p>
    <w:p>
      <w:pPr>
        <w:pStyle w:val="FirstParagraph"/>
      </w:pPr>
      <w:r>
        <w:t xml:space="preserve">Emissions from the energy consumption during the product\'s lifespan.</w:t>
      </w:r>
    </w:p>
    <w:p>
      <w:pPr>
        <w:numPr>
          <w:ilvl w:val="0"/>
          <w:numId w:val="1014"/>
        </w:numPr>
        <w:pStyle w:val="Compact"/>
      </w:pPr>
      <w:r>
        <w:rPr>
          <w:bCs/>
          <w:b/>
        </w:rPr>
        <w:t xml:space="preserve">Product Lifespan:</w:t>
      </w:r>
      <w:r>
        <w:t xml:space="preserve"> </w:t>
      </w:r>
      <w:r>
        <w:t xml:space="preserve">7 years</w:t>
      </w:r>
    </w:p>
    <w:p>
      <w:pPr>
        <w:numPr>
          <w:ilvl w:val="0"/>
          <w:numId w:val="1014"/>
        </w:numPr>
        <w:pStyle w:val="Compact"/>
      </w:pPr>
      <w:r>
        <w:rPr>
          <w:bCs/>
          <w:b/>
        </w:rPr>
        <w:t xml:space="preserve">Energy Consumption in Use:</w:t>
      </w:r>
      <w:r>
        <w:t xml:space="preserve"> </w:t>
      </w:r>
      <w:r>
        <w:t xml:space="preserve">12 kWh/year</w:t>
      </w:r>
    </w:p>
    <w:p>
      <w:pPr>
        <w:numPr>
          <w:ilvl w:val="0"/>
          <w:numId w:val="1014"/>
        </w:numPr>
        <w:pStyle w:val="Compact"/>
      </w:pPr>
      <w:r>
        <w:rPr>
          <w:bCs/>
          <w:b/>
        </w:rPr>
        <w:t xml:space="preserve">Assumed Grid Emission Factor (where product is used):</w:t>
      </w:r>
      <w:r>
        <w:t xml:space="preserve"> </w:t>
      </w:r>
      <w:r>
        <w:t xml:space="preserve">0.58 kg CO2e/kWh (assuming similar grid mix as production country, for illustrative consistency)</w:t>
      </w:r>
    </w:p>
    <w:p>
      <w:pPr>
        <w:numPr>
          <w:ilvl w:val="0"/>
          <w:numId w:val="1014"/>
        </w:numPr>
        <w:pStyle w:val="Compact"/>
      </w:pPr>
      <w:r>
        <w:rPr>
          <w:bCs/>
          <w:b/>
        </w:rPr>
        <w:t xml:space="preserve">Emissions per year:</w:t>
      </w:r>
      <w:r>
        <w:t xml:space="preserve"> </w:t>
      </w:r>
      <w:r>
        <w:t xml:space="preserve">12 kWh/year * 0.58 kg CO2e/kWh = 6.96 kg CO2e/year</w:t>
      </w:r>
    </w:p>
    <w:p>
      <w:pPr>
        <w:numPr>
          <w:ilvl w:val="0"/>
          <w:numId w:val="1014"/>
        </w:numPr>
        <w:pStyle w:val="Compact"/>
      </w:pPr>
      <w:r>
        <w:rPr>
          <w:bCs/>
          <w:b/>
        </w:rPr>
        <w:t xml:space="preserve">Total Use Phase Emissions:</w:t>
      </w:r>
      <w:r>
        <w:t xml:space="preserve"> </w:t>
      </w:r>
      <w:r>
        <w:t xml:space="preserve">6.96 kg CO2e/year * 7 years =</w:t>
      </w:r>
      <w:r>
        <w:t xml:space="preserve"> </w:t>
      </w:r>
      <w:r>
        <w:rPr>
          <w:bCs/>
          <w:b/>
        </w:rPr>
        <w:t xml:space="preserve">48.72 kgCO2e/unit</w:t>
      </w:r>
    </w:p>
    <w:p>
      <w:pPr>
        <w:pStyle w:val="FirstParagraph"/>
      </w:pPr>
      <w:r>
        <w:rPr>
          <w:bCs/>
          <w:b/>
        </w:rPr>
        <w:t xml:space="preserve">Total Illustrative Use Phase Emissions: 48.72 kgCO2e/unit</w:t>
      </w:r>
    </w:p>
    <w:bookmarkEnd w:id="47"/>
    <w:bookmarkStart w:id="48" w:name="end-of-life-treatment-of-sold-products"/>
    <w:p>
      <w:pPr>
        <w:pStyle w:val="Heading5"/>
      </w:pPr>
      <w:r>
        <w:t xml:space="preserve">End-of-Life Treatment of Sold Products</w:t>
      </w:r>
    </w:p>
    <w:p>
      <w:pPr>
        <w:pStyle w:val="FirstParagraph"/>
      </w:pPr>
      <w:r>
        <w:t xml:space="preserve">Emissions and potential credits associated with disposal and recycling.</w:t>
      </w:r>
    </w:p>
    <w:p>
      <w:pPr>
        <w:numPr>
          <w:ilvl w:val="0"/>
          <w:numId w:val="1015"/>
        </w:numPr>
        <w:pStyle w:val="Compact"/>
      </w:pPr>
      <w:r>
        <w:rPr>
          <w:bCs/>
          <w:b/>
        </w:rPr>
        <w:t xml:space="preserve">Product Weight (illustrative total):</w:t>
      </w:r>
      <w:r>
        <w:t xml:space="preserve"> </w:t>
      </w:r>
      <w:r>
        <w:t xml:space="preserve">1.0 kg</w:t>
      </w:r>
    </w:p>
    <w:p>
      <w:pPr>
        <w:numPr>
          <w:ilvl w:val="0"/>
          <w:numId w:val="1015"/>
        </w:numPr>
        <w:pStyle w:val="Compact"/>
      </w:pPr>
      <w:r>
        <w:rPr>
          <w:bCs/>
          <w:b/>
        </w:rPr>
        <w:t xml:space="preserve">Recyclability Percentage:</w:t>
      </w:r>
      <w:r>
        <w:t xml:space="preserve"> </w:t>
      </w:r>
      <w:r>
        <w:t xml:space="preserve">75%</w:t>
      </w:r>
    </w:p>
    <w:p>
      <w:pPr>
        <w:numPr>
          <w:ilvl w:val="0"/>
          <w:numId w:val="1015"/>
        </w:numPr>
        <w:pStyle w:val="Compact"/>
      </w:pPr>
      <w:r>
        <w:rPr>
          <w:bCs/>
          <w:b/>
        </w:rPr>
        <w:t xml:space="preserve">Waste to Landfill Percentage:</w:t>
      </w:r>
      <w:r>
        <w:t xml:space="preserve"> </w:t>
      </w:r>
      <w:r>
        <w:t xml:space="preserve">100% - 75% = 25%</w:t>
      </w:r>
    </w:p>
    <w:p>
      <w:pPr>
        <w:numPr>
          <w:ilvl w:val="0"/>
          <w:numId w:val="1015"/>
        </w:numPr>
        <w:pStyle w:val="Compact"/>
      </w:pPr>
      <w:r>
        <w:rPr>
          <w:bCs/>
          <w:b/>
        </w:rPr>
        <w:t xml:space="preserve">Recycling Credit:</w:t>
      </w:r>
      <w:r>
        <w:t xml:space="preserve"> </w:t>
      </w:r>
      <w:r>
        <w:t xml:space="preserve">For the 75% recycled, a credit of 0.5 kg CO2e/kg is assumed (illustrative, depends on material and recycling process efficiency).</w:t>
      </w:r>
    </w:p>
    <w:p>
      <w:pPr>
        <w:numPr>
          <w:ilvl w:val="1"/>
          <w:numId w:val="1016"/>
        </w:numPr>
        <w:pStyle w:val="Compact"/>
      </w:pPr>
      <w:r>
        <w:t xml:space="preserve">Credit: 1.0 kg * 75% * -0.5 kg CO2e/kg = -0.375 kg CO2e</w:t>
      </w:r>
    </w:p>
    <w:p>
      <w:pPr>
        <w:numPr>
          <w:ilvl w:val="0"/>
          <w:numId w:val="1015"/>
        </w:numPr>
        <w:pStyle w:val="Compact"/>
      </w:pPr>
      <w:r>
        <w:rPr>
          <w:bCs/>
          <w:b/>
        </w:rPr>
        <w:t xml:space="preserve">Landfill Emissions:</w:t>
      </w:r>
      <w:r>
        <w:t xml:space="preserve"> </w:t>
      </w:r>
      <w:r>
        <w:t xml:space="preserve">For the 25% landfilled, an emission factor of 1.0 kg CO2e/kg is assumed (illustrative, depends on waste type and landfill practices).</w:t>
      </w:r>
    </w:p>
    <w:p>
      <w:pPr>
        <w:numPr>
          <w:ilvl w:val="1"/>
          <w:numId w:val="1017"/>
        </w:numPr>
        <w:pStyle w:val="Compact"/>
      </w:pPr>
      <w:r>
        <w:t xml:space="preserve">Emissions: 1.0 kg * 25% * 1.0 kg CO2e/kg = 0.25 kg CO2e</w:t>
      </w:r>
    </w:p>
    <w:p>
      <w:pPr>
        <w:pStyle w:val="FirstParagraph"/>
      </w:pPr>
      <w:r>
        <w:rPr>
          <w:bCs/>
          <w:b/>
        </w:rPr>
        <w:t xml:space="preserve">Total Illustrative End-of-Life Emissions (Net):</w:t>
      </w:r>
      <w:r>
        <w:t xml:space="preserve"> </w:t>
      </w:r>
      <w:r>
        <w:t xml:space="preserve">-0.375 + 0.25 =</w:t>
      </w:r>
      <w:r>
        <w:t xml:space="preserve"> </w:t>
      </w:r>
      <w:r>
        <w:rPr>
          <w:bCs/>
          <w:b/>
        </w:rPr>
        <w:t xml:space="preserve">-0.125 kgCO2e/unit</w:t>
      </w:r>
    </w:p>
    <w:p>
      <w:pPr>
        <w:pStyle w:val="BodyText"/>
      </w:pPr>
      <w:r>
        <w:t xml:space="preserve">The presence of</w:t>
      </w:r>
      <w:r>
        <w:t xml:space="preserve"> </w:t>
      </w:r>
      <w:r>
        <w:t xml:space="preserve">Circular/Take-back Programs (njlffgnoss)</w:t>
      </w:r>
      <w:r>
        <w:t xml:space="preserve">, such as GlobalTech Solutions\' company-operated product take-back and refurbishment program, significantly enhances the circularity of the product and reduces virgin material demand, contributing to a lower net End-of-Life footprint.</w:t>
      </w:r>
    </w:p>
    <w:bookmarkEnd w:id="48"/>
    <w:bookmarkEnd w:id="49"/>
    <w:bookmarkEnd w:id="50"/>
    <w:bookmarkStart w:id="51" w:name="summary-of-illustrative-pcf-calculations"/>
    <w:p>
      <w:pPr>
        <w:pStyle w:val="Heading3"/>
      </w:pPr>
      <w:r>
        <w:t xml:space="preserve">4.4. Summary of Illustrative PCF Calculations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(kgCO2e/unit)</w:t>
            </w:r>
          </w:p>
        </w:tc>
      </w:tr>
      <w:tr>
        <w:tc>
          <w:tcPr/>
          <w:p>
            <w:pPr>
              <w:pStyle w:val="Compact"/>
              <w:jc w:val="left"/>
            </w:pPr>
            <w:r>
              <w:rPr>
                <w:bCs/>
                <w:b/>
              </w:rPr>
              <w:t xml:space="preserve">Raw Material Acquisition &amp; Pre-processing</w:t>
            </w:r>
          </w:p>
        </w:tc>
        <w:tc>
          <w:tcPr/>
          <w:p>
            <w:pPr>
              <w:pStyle w:val="Compact"/>
              <w:jc w:val="left"/>
            </w:pPr>
            <w:r>
              <w:t xml:space="preserve">Scope 3 (Upstream)</w:t>
            </w:r>
          </w:p>
        </w:tc>
        <w:tc>
          <w:tcPr/>
          <w:p>
            <w:pPr>
              <w:pStyle w:val="Compact"/>
              <w:jc w:val="left"/>
            </w:pPr>
            <w:r>
              <w:t xml:space="preserve">5.97</w:t>
            </w:r>
          </w:p>
        </w:tc>
      </w:tr>
      <w:tr>
        <w:tc>
          <w:tcPr/>
          <w:p>
            <w:pPr>
              <w:pStyle w:val="Compact"/>
              <w:jc w:val="left"/>
            </w:pPr>
            <w:r>
              <w:rPr>
                <w:bCs/>
                <w:b/>
              </w:rPr>
              <w:t xml:space="preserve">Manufacturing / Production (Direct)</w:t>
            </w:r>
          </w:p>
        </w:tc>
        <w:tc>
          <w:tcPr/>
          <w:p>
            <w:pPr>
              <w:pStyle w:val="Compact"/>
              <w:jc w:val="left"/>
            </w:pPr>
            <w:r>
              <w:t xml:space="preserve">Scope 1</w:t>
            </w:r>
          </w:p>
        </w:tc>
        <w:tc>
          <w:tcPr/>
          <w:p>
            <w:pPr>
              <w:pStyle w:val="Compact"/>
              <w:jc w:val="left"/>
            </w:pPr>
            <w:r>
              <w:t xml:space="preserve">0.10</w:t>
            </w:r>
          </w:p>
        </w:tc>
      </w:tr>
      <w:tr>
        <w:tc>
          <w:tcPr/>
          <w:p>
            <w:pPr>
              <w:pStyle w:val="Compact"/>
              <w:jc w:val="left"/>
            </w:pPr>
            <w:r>
              <w:rPr>
                <w:bCs/>
                <w:b/>
              </w:rPr>
              <w:t xml:space="preserve">Manufacturing / Production (Purchased Energy)</w:t>
            </w:r>
          </w:p>
        </w:tc>
        <w:tc>
          <w:tcPr/>
          <w:p>
            <w:pPr>
              <w:pStyle w:val="Compact"/>
              <w:jc w:val="left"/>
            </w:pPr>
            <w:r>
              <w:t xml:space="preserve">Scope 2</w:t>
            </w:r>
          </w:p>
        </w:tc>
        <w:tc>
          <w:tcPr/>
          <w:p>
            <w:pPr>
              <w:pStyle w:val="Compact"/>
              <w:jc w:val="left"/>
            </w:pPr>
            <w:r>
              <w:t xml:space="preserve">5.80</w:t>
            </w:r>
          </w:p>
        </w:tc>
      </w:tr>
      <w:tr>
        <w:tc>
          <w:tcPr/>
          <w:p>
            <w:pPr>
              <w:pStyle w:val="Compact"/>
              <w:jc w:val="left"/>
            </w:pPr>
            <w:r>
              <w:rPr>
                <w:bCs/>
                <w:b/>
              </w:rPr>
              <w:t xml:space="preserve">Transport &amp; Distribution (Upstream)</w:t>
            </w:r>
          </w:p>
        </w:tc>
        <w:tc>
          <w:tcPr/>
          <w:p>
            <w:pPr>
              <w:pStyle w:val="Compact"/>
              <w:jc w:val="left"/>
            </w:pPr>
            <w:r>
              <w:t xml:space="preserve">Scope 3 (Upstream)</w:t>
            </w:r>
          </w:p>
        </w:tc>
        <w:tc>
          <w:tcPr/>
          <w:p>
            <w:pPr>
              <w:pStyle w:val="Compact"/>
              <w:jc w:val="left"/>
            </w:pPr>
            <w:r>
              <w:t xml:space="preserve">0.16</w:t>
            </w:r>
          </w:p>
        </w:tc>
      </w:tr>
      <w:tr>
        <w:tc>
          <w:tcPr/>
          <w:p>
            <w:pPr>
              <w:pStyle w:val="Compact"/>
              <w:jc w:val="left"/>
            </w:pPr>
            <w:r>
              <w:rPr>
                <w:bCs/>
                <w:b/>
              </w:rPr>
              <w:t xml:space="preserve">Transport &amp; Distribution (Downstream - Last Mile)</w:t>
            </w:r>
          </w:p>
        </w:tc>
        <w:tc>
          <w:tcPr/>
          <w:p>
            <w:pPr>
              <w:pStyle w:val="Compact"/>
              <w:jc w:val="left"/>
            </w:pPr>
            <w:r>
              <w:t xml:space="preserve">Scope 3 (Downstream)</w:t>
            </w:r>
          </w:p>
        </w:tc>
        <w:tc>
          <w:tcPr/>
          <w:p>
            <w:pPr>
              <w:pStyle w:val="Compact"/>
              <w:jc w:val="left"/>
            </w:pPr>
            <w:r>
              <w:t xml:space="preserve">20.20</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48.72</w:t>
            </w:r>
          </w:p>
        </w:tc>
      </w:tr>
      <w:tr>
        <w:tc>
          <w:tcPr/>
          <w:p>
            <w:pPr>
              <w:pStyle w:val="Compact"/>
              <w:jc w:val="left"/>
            </w:pPr>
            <w:r>
              <w:rPr>
                <w:bCs/>
                <w:b/>
              </w:rPr>
              <w:t xml:space="preserve">End-of-Life (Net)</w:t>
            </w:r>
          </w:p>
        </w:tc>
        <w:tc>
          <w:tcPr/>
          <w:p>
            <w:pPr>
              <w:pStyle w:val="Compact"/>
              <w:jc w:val="left"/>
            </w:pPr>
            <w:r>
              <w:t xml:space="preserve">Scope 3 (Downstream)</w:t>
            </w:r>
          </w:p>
        </w:tc>
        <w:tc>
          <w:tcPr/>
          <w:p>
            <w:pPr>
              <w:pStyle w:val="Compact"/>
              <w:jc w:val="left"/>
            </w:pPr>
            <w:r>
              <w:t xml:space="preserve">-0.125</w:t>
            </w:r>
          </w:p>
        </w:tc>
      </w:tr>
      <w:tr>
        <w:tc>
          <w:tcPr>
            <w:gridSpan w:val="2"/>
          </w:tcPr>
          <w:p>
            <w:pPr>
              <w:pStyle w:val="Compact"/>
              <w:jc w:val="left"/>
            </w:pPr>
            <w:r>
              <w:t xml:space="preserve">TOTAL PRODUCT CARBON FOOTPRINT</w:t>
            </w:r>
          </w:p>
        </w:tc>
        <w:tc>
          <w:tcPr/>
          <w:p>
            <w:pPr>
              <w:pStyle w:val="Compact"/>
              <w:jc w:val="left"/>
            </w:pPr>
            <w:r>
              <w:t xml:space="preserve">80.825</w:t>
            </w:r>
          </w:p>
        </w:tc>
      </w:tr>
    </w:tbl>
    <w:p>
      <w:pPr>
        <w:pStyle w:val="BodyText"/>
      </w:pPr>
      <w:r>
        <w:t xml:space="preserve">The illustrative Product Carbon Footprint for one unit of hmesvvlwtx (EcoWidget Pro) is approximately</w:t>
      </w:r>
      <w:r>
        <w:t xml:space="preserve"> </w:t>
      </w:r>
      <w:r>
        <w:rPr>
          <w:bCs/>
          <w:b/>
        </w:rPr>
        <w:t xml:space="preserve">80.83 kgCO2e</w:t>
      </w:r>
      <w:r>
        <w:t xml:space="preserve">.</w:t>
      </w:r>
    </w:p>
    <w:p>
      <w:r>
        <w:pict>
          <v:rect style="width:0;height:1.5pt" o:hralign="center" o:hrstd="t" o:hr="t"/>
        </w:pict>
      </w:r>
    </w:p>
    <w:bookmarkEnd w:id="51"/>
    <w:bookmarkEnd w:id="52"/>
    <w:bookmarkStart w:id="56" w:name="review-reporting"/>
    <w:p>
      <w:pPr>
        <w:pStyle w:val="Heading2"/>
      </w:pPr>
      <w:r>
        <w:t xml:space="preserve">5. Review &amp; Reporting</w:t>
      </w:r>
    </w:p>
    <w:bookmarkStart w:id="53" w:name="hotspot-analysis"/>
    <w:p>
      <w:pPr>
        <w:pStyle w:val="Heading3"/>
      </w:pPr>
      <w:r>
        <w:t xml:space="preserve">5.1. Hotspot Analysis</w:t>
      </w:r>
    </w:p>
    <w:p>
      <w:pPr>
        <w:pStyle w:val="FirstParagraph"/>
      </w:pPr>
      <w:r>
        <w:t xml:space="preserve">Based on the illustrative calculations, the major emission hotspots for EcoWidget Pro (hmesvvlwtx) are:</w:t>
      </w:r>
    </w:p>
    <w:p>
      <w:pPr>
        <w:numPr>
          <w:ilvl w:val="0"/>
          <w:numId w:val="1018"/>
        </w:numPr>
        <w:pStyle w:val="Compact"/>
      </w:pPr>
      <w:r>
        <w:rPr>
          <w:bCs/>
          <w:b/>
        </w:rPr>
        <w:t xml:space="preserve">Use Phase (60.3% of total PCF):</w:t>
      </w:r>
      <w:r>
        <w:t xml:space="preserve"> </w:t>
      </w:r>
      <w:r>
        <w:t xml:space="preserve">This is the most significant contributor, primarily due to the product\'s energy consumption over its 7-year lifespan. This highlights the importance of energy-efficient design.</w:t>
      </w:r>
    </w:p>
    <w:p>
      <w:pPr>
        <w:numPr>
          <w:ilvl w:val="0"/>
          <w:numId w:val="1018"/>
        </w:numPr>
        <w:pStyle w:val="Compact"/>
      </w:pPr>
      <w:r>
        <w:rPr>
          <w:bCs/>
          <w:b/>
        </w:rPr>
        <w:t xml:space="preserve">Downstream Transportation (25.0% of total PCF):</w:t>
      </w:r>
      <w:r>
        <w:t xml:space="preserve"> </w:t>
      </w:r>
      <w:r>
        <w:t xml:space="preserve">Last-mile delivery contributes substantially, indicating opportunities for optimizing logistics, consolidating shipments, or exploring lower-emission delivery methods.</w:t>
      </w:r>
    </w:p>
    <w:p>
      <w:pPr>
        <w:numPr>
          <w:ilvl w:val="0"/>
          <w:numId w:val="1018"/>
        </w:numPr>
        <w:pStyle w:val="Compact"/>
      </w:pPr>
      <w:r>
        <w:rPr>
          <w:bCs/>
          <w:b/>
        </w:rPr>
        <w:t xml:space="preserve">Raw Materials (7.4% of total PCF):</w:t>
      </w:r>
      <w:r>
        <w:t xml:space="preserve"> </w:t>
      </w:r>
      <w:r>
        <w:t xml:space="preserve">Certain materials, like Aluminium Casing and Lithium-ion Battery, have higher embodied emissions. Prioritizing recycled content and selecting lower-impact materials can reduce this.</w:t>
      </w:r>
    </w:p>
    <w:p>
      <w:pPr>
        <w:numPr>
          <w:ilvl w:val="0"/>
          <w:numId w:val="1018"/>
        </w:numPr>
        <w:pStyle w:val="Compact"/>
      </w:pPr>
      <w:r>
        <w:rPr>
          <w:bCs/>
          <w:b/>
        </w:rPr>
        <w:t xml:space="preserve">Production Energy (7.2% of total PCF):</w:t>
      </w:r>
      <w:r>
        <w:t xml:space="preserve"> </w:t>
      </w:r>
      <w:r>
        <w:t xml:space="preserve">While GlobalTech Solutions uses 60% renewable energy, the remaining 40% from the grid still contributes. Increasing renewable energy adoption or procuring certified green electricity can further reduce this.</w:t>
      </w:r>
    </w:p>
    <w:bookmarkEnd w:id="53"/>
    <w:bookmarkStart w:id="54" w:name="reliability"/>
    <w:p>
      <w:pPr>
        <w:pStyle w:val="Heading3"/>
      </w:pPr>
      <w:r>
        <w:t xml:space="preserve">5.2. Reliability</w:t>
      </w:r>
    </w:p>
    <w:p>
      <w:pPr>
        <w:pStyle w:val="FirstParagraph"/>
      </w:pPr>
      <w:r>
        <w:t xml:space="preserve">The reliability of this PCF analysis is contingent upon the accuracy of the provided primary data and the representativeness of the secondary emission factors used. The use of specific BOM data (xjjurdqx) and customized energy parameters (irzklywhhn, gopywwkvhl) enhances the accuracy for the production phase. Generic industry-average emission factors have been applied for transport and grid electricity, as specific supplier or country-specific data was not provided for all supply chain elements.</w:t>
      </w:r>
    </w:p>
    <w:p>
      <w:pPr>
        <w:pStyle w:val="BodyText"/>
      </w:pPr>
      <w:r>
        <w:t xml:space="preserve">To further enhance reliability, it is recommended that GlobalTech Solutions (lhimjivvkz):</w:t>
      </w:r>
    </w:p>
    <w:p>
      <w:pPr>
        <w:numPr>
          <w:ilvl w:val="0"/>
          <w:numId w:val="1019"/>
        </w:numPr>
        <w:pStyle w:val="Compact"/>
      </w:pPr>
      <w:r>
        <w:t xml:space="preserve">Collect primary data for all significant Scope 3 activities, especially for upstream and downstream transportation and component manufacturing.</w:t>
      </w:r>
    </w:p>
    <w:p>
      <w:pPr>
        <w:numPr>
          <w:ilvl w:val="0"/>
          <w:numId w:val="1019"/>
        </w:numPr>
        <w:pStyle w:val="Compact"/>
      </w:pPr>
      <w:r>
        <w:t xml:space="preserve">Source country-specific and year-specific electricity grid emission factors for the product\'s primary use regions.</w:t>
      </w:r>
    </w:p>
    <w:p>
      <w:pPr>
        <w:numPr>
          <w:ilvl w:val="0"/>
          <w:numId w:val="1019"/>
        </w:numPr>
        <w:pStyle w:val="Compact"/>
      </w:pPr>
      <w:r>
        <w:t xml:space="preserve">Perform a sensitivity analysis on key parameters, such as energy consumption in the use phase and material emission factors, to understand potential variations in the PCF.</w:t>
      </w:r>
    </w:p>
    <w:p>
      <w:pPr>
        <w:numPr>
          <w:ilvl w:val="0"/>
          <w:numId w:val="1019"/>
        </w:numPr>
        <w:pStyle w:val="Compact"/>
      </w:pPr>
      <w:r>
        <w:t xml:space="preserve">Engage with suppliers to obtain product-specific EPDs (Environmental Product Declarations) for materials and components.</w:t>
      </w:r>
    </w:p>
    <w:bookmarkEnd w:id="54"/>
    <w:bookmarkStart w:id="55" w:name="scope-3-compliance"/>
    <w:p>
      <w:pPr>
        <w:pStyle w:val="Heading3"/>
      </w:pPr>
      <w:r>
        <w:t xml:space="preserve">5.3. Scope 3 Compliance</w:t>
      </w:r>
    </w:p>
    <w:p>
      <w:pPr>
        <w:pStyle w:val="FirstParagraph"/>
      </w:pPr>
      <w:r>
        <w:t xml:space="preserve">This analysis strives for comprehensive</w:t>
      </w:r>
      <w:r>
        <w:t xml:space="preserve"> </w:t>
      </w:r>
      <w:r>
        <w:t xml:space="preserve">Scope 3 reporting with over 95% coverage</w:t>
      </w:r>
      <w:r>
        <w:t xml:space="preserve"> </w:t>
      </w:r>
      <w:r>
        <w:t xml:space="preserve">by including all major upstream and downstream categories, as per 2026 requirements. The detailed breakdown covers purchased goods and services, transportation, use of sold products, and end-of-life treatment. Ongoing data collection and supplier engagement will further strengthen this coverage.</w:t>
      </w:r>
    </w:p>
    <w:p>
      <w:r>
        <w:pict>
          <v:rect style="width:0;height:1.5pt" o:hralign="center" o:hrstd="t" o:hr="t"/>
        </w:pict>
      </w:r>
    </w:p>
    <w:p>
      <w:pPr>
        <w:pStyle w:val="FirstParagraph"/>
      </w:pPr>
      <w:r>
        <w:t xml:space="preserve">Confidential - Internal Use Only</w:t>
      </w:r>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EcoWidget Pro (hmesvvlwtx)</dc:title>
  <dc:creator/>
  <dc:description>High-detail Product Carbon Footprint (PCF) analysis for EcoWidget Pro (hmesvvlwtx) by iummqhwypf for GlobalTech Solutions (lhimjivvkz), adhering to GHG Protocol and 2026 LSR update.</dc:description>
  <dc:language>en</dc:language>
  <cp:keywords/>
  <dcterms:created xsi:type="dcterms:W3CDTF">2026-07-15T03:04:41Z</dcterms:created>
  <dcterms:modified xsi:type="dcterms:W3CDTF">2026-07-15T03:04:41Z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