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(gfffgtzjnl)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 EcoWidget Pro (gfffgtzjnl)</w:t>
      </w:r>
    </w:p>
    <w:p>
      <w:pPr>
        <w:pStyle w:val="BodyText"/>
      </w:pPr>
      <w:r>
        <w:t xml:space="preserve">Company Name: GlobalTech Innovations (jdorqsenpf)</w:t>
      </w:r>
    </w:p>
    <w:p>
      <w:pPr>
        <w:pStyle w:val="BodyText"/>
      </w:pPr>
      <w:r>
        <w:t xml:space="preserve">Protocol Data (Accounting Standard): GHG Protocol</w:t>
      </w:r>
    </w:p>
    <w:p>
      <w:pPr>
        <w:pStyle w:val="BodyText"/>
      </w:pPr>
      <w:r>
        <w:t xml:space="preserve">Senior Sustainability Consultant: grhviwkxsi</w:t>
      </w:r>
    </w:p>
    <w:p>
      <w:pPr>
        <w:pStyle w:val="BodyText"/>
      </w:pPr>
      <w:r>
        <w:t xml:space="preserve">This report is generated based on available data and industry standards. While every effort has been made to ensure accuracy and adherence to the specified methodology, actual emissions may vary depending on real-world conditions, specific supplier data, and dynamic operational factors. The emission factors used are illustrative and derived from general industry averages, in lieu of direct database access.</w:t>
      </w:r>
    </w:p>
    <w:bookmarkEnd w:id="20"/>
    <w:bookmarkStart w:id="21" w:name="Xa87d010c1fd868336511b306fbd202996615f12"/>
    <w:p>
      <w:pPr>
        <w:pStyle w:val="Heading1"/>
      </w:pPr>
      <w:r>
        <w:t xml:space="preserve">Product Carbon Footprint Analysis Report</w:t>
      </w:r>
    </w:p>
    <w:p>
      <w:pPr>
        <w:pStyle w:val="FirstParagraph"/>
      </w:pPr>
      <w:r>
        <w:t xml:space="preserve">Product: EcoWidget Pro (gfffgtzjnl)</w:t>
      </w:r>
    </w:p>
    <w:p>
      <w:pPr>
        <w:pStyle w:val="BodyText"/>
      </w:pPr>
      <w:r>
        <w:t xml:space="preserve">Company: GlobalTech Innovations (jdorqsenpf)</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"EcoWidget Pro" (gfffgtzjnl), manufactured by GlobalTech Innovations (jdorqsenpf). Conducted by Senior Sustainability Consultant grhviwkxsi, this analysis adheres strictly to the GHG Protocol accounting standard, incorporating the 2026 Land Sector and Removals (LSR) Standard updates and achieving over 95% Scope 3 coverage. The PCF is calculated for a functional unit of 1.0 unit, covering a factory-gate to end-of-life system boundary, with a geographic focus on final production in China and a Europe-focused supply chain. The total estimated Product Carbon Footprint for the EcoWidget Pro is</w:t>
      </w:r>
      <w:r>
        <w:t xml:space="preserve"> </w:t>
      </w:r>
      <w:r>
        <w:rPr>
          <w:bCs/>
          <w:b/>
        </w:rPr>
        <w:t xml:space="preserve">12.60 kgCO2e per unit</w:t>
      </w:r>
      <w:r>
        <w:t xml:space="preserve">. Key hotspots include the use phase energy consumption and material extraction and processing.</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EcoWidget Pro.</w:t>
      </w:r>
    </w:p>
    <w:p>
      <w:pPr>
        <w:numPr>
          <w:ilvl w:val="0"/>
          <w:numId w:val="1001"/>
        </w:numPr>
        <w:pStyle w:val="Compact"/>
      </w:pPr>
      <w:r>
        <w:rPr>
          <w:bCs/>
          <w:b/>
        </w:rPr>
        <w:t xml:space="preserve">System Boundary:</w:t>
      </w:r>
      <w:r>
        <w:t xml:space="preserve"> </w:t>
      </w:r>
      <w:r>
        <w:t xml:space="preserve">Factory-gate to end-of-life. This includes raw material acquisition, manufacturing (up to the factory gate), all relevant transportation stages, product use phase, and end-of-life treatment.</w:t>
      </w:r>
    </w:p>
    <w:p>
      <w:pPr>
        <w:numPr>
          <w:ilvl w:val="0"/>
          <w:numId w:val="1001"/>
        </w:numPr>
        <w:pStyle w:val="Compact"/>
      </w:pPr>
      <w:r>
        <w:rPr>
          <w:bCs/>
          <w:b/>
        </w:rPr>
        <w:t xml:space="preserve">Geographic Scope:</w:t>
      </w:r>
      <w:r>
        <w:t xml:space="preserve"> </w:t>
      </w:r>
      <w:r>
        <w:t xml:space="preserve">Final production in China, with a supply chain focus on Europe. Use phase and end-of-life are considered global averages for typical consumer use in developed markets.</w:t>
      </w:r>
    </w:p>
    <w:p>
      <w:pPr>
        <w:numPr>
          <w:ilvl w:val="0"/>
          <w:numId w:val="1001"/>
        </w:numPr>
        <w:pStyle w:val="Compact"/>
      </w:pPr>
      <w:r>
        <w:rPr>
          <w:bCs/>
          <w:b/>
        </w:rPr>
        <w:t xml:space="preserve">Accounting Standard:</w:t>
      </w:r>
      <w:r>
        <w:t xml:space="preserve"> </w:t>
      </w:r>
      <w:r>
        <w:t xml:space="preserve">GHG Protocol Product Standard. Emissions are categorized into Scope 1, Scope 2, and Scope 3 from the perspective of GlobalTech Innovations (jdorqsenpf).</w:t>
      </w:r>
    </w:p>
    <w:p>
      <w:pPr>
        <w:numPr>
          <w:ilvl w:val="0"/>
          <w:numId w:val="1001"/>
        </w:numPr>
        <w:pStyle w:val="Compact"/>
      </w:pPr>
      <w:r>
        <w:rPr>
          <w:bCs/>
          <w:b/>
        </w:rPr>
        <w:t xml:space="preserve">Allocation:</w:t>
      </w:r>
      <w:r>
        <w:t xml:space="preserve"> </w:t>
      </w:r>
      <w:r>
        <w:t xml:space="preserve">For multi-functional processes, emissions are allocated based on physical parameters (e.g., mass, energy content) or economic value where appropriate, ensuring consistency with GHG Protocol guidance.</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the EcoWidget Pro has been mapped across key stages, and data collected from the provided parameters. Emissions have been categorized as Scope 3 for GlobalTech Innovations (jdorqsenpf), assuming outsourced manufacturing, which encompasses most upstream and downstream activities in a product\'s lifecycle.</w:t>
      </w:r>
    </w:p>
    <w:bookmarkStart w:id="24" w:name="X6e48d86bf63df20302bc637f2bb70576627a92f"/>
    <w:p>
      <w:pPr>
        <w:pStyle w:val="Heading3"/>
      </w:pPr>
      <w:r>
        <w:t xml:space="preserve">Detailed Bill of Materials (BOM) Analysis (Scope 3 - Category 1: Purchased Goods and Services)</w:t>
      </w:r>
    </w:p>
    <w:p>
      <w:pPr>
        <w:pStyle w:val="FirstParagraph"/>
      </w:pPr>
      <w:r>
        <w:t xml:space="preserve">The following table details the material components of the EcoWidget Pro, along with their respective quantities and calculated total carbon footprints, utilizing the provided BOM data (ykwhgodm).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M2</w:t>
            </w:r>
          </w:p>
        </w:tc>
        <w:tc>
          <w:tcPr/>
          <w:p>
            <w:pPr>
              <w:pStyle w:val="Compact"/>
              <w:jc w:val="left"/>
            </w:pPr>
            <w:r>
              <w:t xml:space="preserve">Plastic Components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 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 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 kg</w:t>
            </w:r>
          </w:p>
        </w:tc>
        <w:tc>
          <w:tcPr/>
          <w:p>
            <w:pPr>
              <w:pStyle w:val="Compact"/>
              <w:jc w:val="left"/>
            </w:pPr>
            <w:r>
              <w:t xml:space="preserve">1.5</w:t>
            </w:r>
          </w:p>
        </w:tc>
        <w:tc>
          <w:tcPr/>
          <w:p>
            <w:pPr>
              <w:pStyle w:val="Compact"/>
              <w:jc w:val="left"/>
            </w:pPr>
            <w:r>
              <w:t xml:space="preserve">0.045</w:t>
            </w:r>
          </w:p>
        </w:tc>
      </w:tr>
      <w:tr>
        <w:tc>
          <w:tcPr>
            <w:gridSpan w:val="6"/>
          </w:tcPr>
          <w:p>
            <w:pPr>
              <w:pStyle w:val="Compact"/>
              <w:jc w:val="right"/>
            </w:pPr>
            <w:r>
              <w:t xml:space="preserve">Total Material Footprint:</w:t>
            </w:r>
          </w:p>
        </w:tc>
        <w:tc>
          <w:tcPr/>
          <w:p>
            <w:pPr>
              <w:pStyle w:val="Compact"/>
              <w:jc w:val="left"/>
            </w:pPr>
            <w:r>
              <w:t xml:space="preserve">4.695 kgCO2e</w:t>
            </w:r>
          </w:p>
        </w:tc>
      </w:tr>
    </w:tbl>
    <w:bookmarkEnd w:id="24"/>
    <w:bookmarkStart w:id="25" w:name="Xd78a79bc216e91270f01ea9a209efee4daf3f60"/>
    <w:p>
      <w:pPr>
        <w:pStyle w:val="Heading3"/>
      </w:pPr>
      <w:r>
        <w:t xml:space="preserve">Production Energy Inputs (Scope 3 - Category 1: Purchased Goods and Services)</w:t>
      </w:r>
    </w:p>
    <w:p>
      <w:pPr>
        <w:pStyle w:val="FirstParagraph"/>
      </w:pPr>
      <w:r>
        <w:t xml:space="preserve">The energy consumed during the manufacturing of one unit of EcoWidget Pro in China is detailed below. The renewable energy usage significantly mitigates the overall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 (per unit)</w:t>
            </w:r>
          </w:p>
        </w:tc>
        <w:tc>
          <w:tcPr/>
          <w:p>
            <w:pPr>
              <w:pStyle w:val="Compact"/>
              <w:jc w:val="left"/>
            </w:pPr>
            <w:r>
              <w:t xml:space="preserve">12</w:t>
            </w:r>
          </w:p>
        </w:tc>
        <w:tc>
          <w:tcPr/>
          <w:p>
            <w:pPr>
              <w:pStyle w:val="Compact"/>
              <w:jc w:val="left"/>
            </w:pPr>
            <w:r>
              <w:t xml:space="preserve">kWh/unit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Share</w:t>
            </w:r>
          </w:p>
        </w:tc>
        <w:tc>
          <w:tcPr/>
          <w:p>
            <w:pPr>
              <w:pStyle w:val="Compact"/>
              <w:jc w:val="left"/>
            </w:pPr>
            <w:r>
              <w:t xml:space="preserve">4.8</w:t>
            </w:r>
          </w:p>
        </w:tc>
        <w:tc>
          <w:tcPr/>
          <w:p>
            <w:pPr>
              <w:pStyle w:val="Compact"/>
              <w:jc w:val="left"/>
            </w:pPr>
            <w:r>
              <w:t xml:space="preserve">kWh/unit</w:t>
            </w:r>
          </w:p>
        </w:tc>
      </w:tr>
      <w:tr>
        <w:tc>
          <w:tcPr/>
          <w:p>
            <w:pPr>
              <w:pStyle w:val="Compact"/>
              <w:jc w:val="left"/>
            </w:pPr>
            <w:r>
              <w:t xml:space="preserve">Assumed China Grid Emission Factor</w:t>
            </w:r>
          </w:p>
        </w:tc>
        <w:tc>
          <w:tcPr/>
          <w:p>
            <w:pPr>
              <w:pStyle w:val="Compact"/>
              <w:jc w:val="left"/>
            </w:pPr>
            <w:r>
              <w:t xml:space="preserve">0.7</w:t>
            </w:r>
          </w:p>
        </w:tc>
        <w:tc>
          <w:tcPr/>
          <w:p>
            <w:pPr>
              <w:pStyle w:val="Compact"/>
              <w:jc w:val="left"/>
            </w:pPr>
            <w:r>
              <w:t xml:space="preserve">kgCO2e/kWh</w:t>
            </w:r>
          </w:p>
        </w:tc>
      </w:tr>
    </w:tbl>
    <w:bookmarkEnd w:id="25"/>
    <w:bookmarkStart w:id="26" w:name="Xb13e4b55ff537221111e60e3dec5004b8884330"/>
    <w:p>
      <w:pPr>
        <w:pStyle w:val="Heading3"/>
      </w:pPr>
      <w:r>
        <w:t xml:space="preserve">Transport Logistics (Scope 3 - Categories 4 &amp; 9)</w:t>
      </w:r>
    </w:p>
    <w:p>
      <w:pPr>
        <w:pStyle w:val="FirstParagraph"/>
      </w:pPr>
      <w:r>
        <w:t xml:space="preserve">Transport for raw materials, inter-facility movement, and last-mile delivery are significant contributors to the product\'s footprint. The provided parameters for "Select Mode," "rjekskhnqk," and "Delivery Type" have been interpreted and modelled as follows for calculation purposes.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 (Assumed)</w:t>
            </w:r>
          </w:p>
        </w:tc>
        <w:tc>
          <w:tcPr/>
          <w:p>
            <w:pPr>
              <w:pStyle w:val="Compact"/>
              <w:jc w:val="left"/>
            </w:pPr>
            <w:r>
              <w:t xml:space="preserve">Distance (Assumed)</w:t>
            </w:r>
          </w:p>
        </w:tc>
        <w:tc>
          <w:tcPr/>
          <w:p>
            <w:pPr>
              <w:pStyle w:val="Compact"/>
              <w:jc w:val="left"/>
            </w:pPr>
            <w:r>
              <w:t xml:space="preserve">Product Weight (kg)</w:t>
            </w:r>
          </w:p>
        </w:tc>
        <w:tc>
          <w:tcPr/>
          <w:p>
            <w:pPr>
              <w:pStyle w:val="Compact"/>
              <w:jc w:val="left"/>
            </w:pPr>
            <w:r>
              <w:t xml:space="preserve">Emission Factor (kgCO2e/tkm or /unit)</w:t>
            </w:r>
          </w:p>
        </w:tc>
      </w:tr>
      <w:tr>
        <w:tc>
          <w:tcPr/>
          <w:p>
            <w:pPr>
              <w:pStyle w:val="Compact"/>
              <w:jc w:val="left"/>
            </w:pPr>
            <w:r>
              <w:t xml:space="preserve">Upstream (Raw materials to factory)</w:t>
            </w:r>
          </w:p>
        </w:tc>
        <w:tc>
          <w:tcPr/>
          <w:p>
            <w:pPr>
              <w:pStyle w:val="Compact"/>
              <w:jc w:val="left"/>
            </w:pPr>
            <w:r>
              <w:t xml:space="preserve">Ocean/Road Freight (Europe to China)</w:t>
            </w:r>
          </w:p>
        </w:tc>
        <w:tc>
          <w:tcPr/>
          <w:p>
            <w:pPr>
              <w:pStyle w:val="Compact"/>
              <w:jc w:val="left"/>
            </w:pPr>
            <w:r>
              <w:t xml:space="preserve">10,000 km</w:t>
            </w:r>
          </w:p>
        </w:tc>
        <w:tc>
          <w:tcPr/>
          <w:p>
            <w:pPr>
              <w:pStyle w:val="Compact"/>
              <w:jc w:val="left"/>
            </w:pPr>
            <w:r>
              <w:t xml:space="preserve">0.46</w:t>
            </w:r>
          </w:p>
        </w:tc>
        <w:tc>
          <w:tcPr/>
          <w:p>
            <w:pPr>
              <w:pStyle w:val="Compact"/>
              <w:jc w:val="left"/>
            </w:pPr>
            <w:r>
              <w:t xml:space="preserve">0.05 kgCO2e/tkm</w:t>
            </w:r>
          </w:p>
        </w:tc>
      </w:tr>
      <w:tr>
        <w:tc>
          <w:tcPr/>
          <w:p>
            <w:pPr>
              <w:pStyle w:val="Compact"/>
              <w:jc w:val="left"/>
            </w:pPr>
            <w:r>
              <w:t xml:space="preserve">Factory to Distribution Center</w:t>
            </w:r>
          </w:p>
        </w:tc>
        <w:tc>
          <w:tcPr/>
          <w:p>
            <w:pPr>
              <w:pStyle w:val="Compact"/>
              <w:jc w:val="left"/>
            </w:pPr>
            <w:r>
              <w:t xml:space="preserve">Road Freight (Heavy Goods Vehicle)</w:t>
            </w:r>
          </w:p>
        </w:tc>
        <w:tc>
          <w:tcPr/>
          <w:p>
            <w:pPr>
              <w:pStyle w:val="Compact"/>
              <w:jc w:val="left"/>
            </w:pPr>
            <w:r>
              <w:t xml:space="preserve">500 km</w:t>
            </w:r>
          </w:p>
        </w:tc>
        <w:tc>
          <w:tcPr/>
          <w:p>
            <w:pPr>
              <w:pStyle w:val="Compact"/>
              <w:jc w:val="left"/>
            </w:pPr>
            <w:r>
              <w:t xml:space="preserve">0.46</w:t>
            </w:r>
          </w:p>
        </w:tc>
        <w:tc>
          <w:tcPr/>
          <w:p>
            <w:pPr>
              <w:pStyle w:val="Compact"/>
              <w:jc w:val="left"/>
            </w:pPr>
            <w:r>
              <w:t xml:space="preserve">0.09 kgCO2e/tkm</w:t>
            </w:r>
          </w:p>
        </w:tc>
      </w:tr>
      <w:tr>
        <w:tc>
          <w:tcPr/>
          <w:p>
            <w:pPr>
              <w:pStyle w:val="Compact"/>
              <w:jc w:val="left"/>
            </w:pPr>
            <w:r>
              <w:t xml:space="preserve">Last-Mile Delivery</w:t>
            </w:r>
          </w:p>
        </w:tc>
        <w:tc>
          <w:tcPr/>
          <w:p>
            <w:pPr>
              <w:pStyle w:val="Compact"/>
              <w:jc w:val="left"/>
            </w:pPr>
            <w:r>
              <w:t xml:space="preserve">Light Commercial Vehicle (Parcel Service)</w:t>
            </w:r>
          </w:p>
        </w:tc>
        <w:tc>
          <w:tcPr/>
          <w:p>
            <w:pPr>
              <w:pStyle w:val="Compact"/>
              <w:jc w:val="left"/>
            </w:pPr>
            <w:r>
              <w:t xml:space="preserve">50 km (route avg.)</w:t>
            </w:r>
          </w:p>
        </w:tc>
        <w:tc>
          <w:tcPr/>
          <w:p>
            <w:pPr>
              <w:pStyle w:val="Compact"/>
              <w:jc w:val="left"/>
            </w:pPr>
            <w:r>
              <w:t xml:space="preserve">-</w:t>
            </w:r>
          </w:p>
        </w:tc>
        <w:tc>
          <w:tcPr/>
          <w:p>
            <w:pPr>
              <w:pStyle w:val="Compact"/>
              <w:jc w:val="left"/>
            </w:pPr>
            <w:r>
              <w:t xml:space="preserve">0.1 kgCO2e/unit</w:t>
            </w:r>
          </w:p>
        </w:tc>
      </w:tr>
    </w:tbl>
    <w:bookmarkEnd w:id="26"/>
    <w:bookmarkStart w:id="27" w:name="Xc1220340f65f666a7dfe1562a4214465cd58a13"/>
    <w:p>
      <w:pPr>
        <w:pStyle w:val="Heading3"/>
      </w:pPr>
      <w:r>
        <w:t xml:space="preserve">Use Phase Data (Scope 3 - Category 11: Use of Sold Products)</w:t>
      </w:r>
    </w:p>
    <w:p>
      <w:pPr>
        <w:pStyle w:val="FirstParagraph"/>
      </w:pPr>
      <w:r>
        <w:t xml:space="preserve">The energy consumption during the product\'s lifespan is a critical component of its lifecycle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Energy Consumption in Use (per year)</w:t>
            </w:r>
          </w:p>
        </w:tc>
        <w:tc>
          <w:tcPr/>
          <w:p>
            <w:pPr>
              <w:pStyle w:val="Compact"/>
              <w:jc w:val="left"/>
            </w:pPr>
            <w:r>
              <w:t xml:space="preserve">3</w:t>
            </w:r>
          </w:p>
        </w:tc>
        <w:tc>
          <w:tcPr/>
          <w:p>
            <w:pPr>
              <w:pStyle w:val="Compact"/>
              <w:jc w:val="left"/>
            </w:pPr>
            <w:r>
              <w:t xml:space="preserve">kWh/year</w:t>
            </w:r>
          </w:p>
        </w:tc>
      </w:tr>
      <w:tr>
        <w:tc>
          <w:tcPr/>
          <w:p>
            <w:pPr>
              <w:pStyle w:val="Compact"/>
              <w:jc w:val="left"/>
            </w:pPr>
            <w:r>
              <w:t xml:space="preserve">Total Energy Consumption (Lifespan)</w:t>
            </w:r>
          </w:p>
        </w:tc>
        <w:tc>
          <w:tcPr/>
          <w:p>
            <w:pPr>
              <w:pStyle w:val="Compact"/>
              <w:jc w:val="left"/>
            </w:pPr>
            <w:r>
              <w:t xml:space="preserve">21</w:t>
            </w:r>
          </w:p>
        </w:tc>
        <w:tc>
          <w:tcPr/>
          <w:p>
            <w:pPr>
              <w:pStyle w:val="Compact"/>
              <w:jc w:val="left"/>
            </w:pPr>
            <w:r>
              <w:t xml:space="preserve">kWh</w:t>
            </w:r>
          </w:p>
        </w:tc>
      </w:tr>
      <w:tr>
        <w:tc>
          <w:tcPr/>
          <w:p>
            <w:pPr>
              <w:pStyle w:val="Compact"/>
              <w:jc w:val="left"/>
            </w:pPr>
            <w:r>
              <w:t xml:space="preserve">Assumed European Grid Emission Factor (Use Phase)</w:t>
            </w:r>
          </w:p>
        </w:tc>
        <w:tc>
          <w:tcPr/>
          <w:p>
            <w:pPr>
              <w:pStyle w:val="Compact"/>
              <w:jc w:val="left"/>
            </w:pPr>
            <w:r>
              <w:t xml:space="preserve">0.25</w:t>
            </w:r>
          </w:p>
        </w:tc>
        <w:tc>
          <w:tcPr/>
          <w:p>
            <w:pPr>
              <w:pStyle w:val="Compact"/>
              <w:jc w:val="left"/>
            </w:pPr>
            <w:r>
              <w:t xml:space="preserve">kgCO2e/kWh</w:t>
            </w:r>
          </w:p>
        </w:tc>
      </w:tr>
    </w:tbl>
    <w:bookmarkEnd w:id="27"/>
    <w:bookmarkStart w:id="28" w:name="X476d265adbb735fcd21601fcf5c7b4762da0b15"/>
    <w:p>
      <w:pPr>
        <w:pStyle w:val="Heading3"/>
      </w:pPr>
      <w:r>
        <w:t xml:space="preserve">End-of-Life (EoL) Scenarios (Scope 3 - Category 12: End-of-Life Treatment of Sold Products)</w:t>
      </w:r>
    </w:p>
    <w:p>
      <w:pPr>
        <w:pStyle w:val="FirstParagraph"/>
      </w:pPr>
      <w:r>
        <w:t xml:space="preserve">The end-of-life treatment includes considerations for recyclability and circular economy initiatives.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Recyclability Percentage</w:t>
            </w:r>
          </w:p>
        </w:tc>
        <w:tc>
          <w:tcPr/>
          <w:p>
            <w:pPr>
              <w:pStyle w:val="Compact"/>
              <w:jc w:val="left"/>
            </w:pPr>
            <w:r>
              <w:t xml:space="preserve">80%</w:t>
            </w:r>
          </w:p>
        </w:tc>
      </w:tr>
      <w:tr>
        <w:tc>
          <w:tcPr/>
          <w:p>
            <w:pPr>
              <w:pStyle w:val="Compact"/>
              <w:jc w:val="left"/>
            </w:pPr>
            <w:r>
              <w:t xml:space="preserve">Circular/Take-back Programs</w:t>
            </w:r>
          </w:p>
        </w:tc>
        <w:tc>
          <w:tcPr/>
          <w:p>
            <w:pPr>
              <w:pStyle w:val="Compact"/>
              <w:jc w:val="left"/>
            </w:pPr>
            <w:r>
              <w:t xml:space="preserve">Yes, comprehensive take-back and refurbishment program</w:t>
            </w:r>
          </w:p>
        </w:tc>
      </w:tr>
      <w:tr>
        <w:tc>
          <w:tcPr/>
          <w:p>
            <w:pPr>
              <w:pStyle w:val="Compact"/>
              <w:jc w:val="left"/>
            </w:pPr>
            <w:r>
              <w:t xml:space="preserve">Assumed Recycling Credit</w:t>
            </w:r>
          </w:p>
        </w:tc>
        <w:tc>
          <w:tcPr/>
          <w:p>
            <w:pPr>
              <w:pStyle w:val="Compact"/>
              <w:jc w:val="left"/>
            </w:pPr>
            <w:r>
              <w:t xml:space="preserve">-3 kgCO2e/kg</w:t>
            </w:r>
          </w:p>
        </w:tc>
      </w:tr>
      <w:tr>
        <w:tc>
          <w:tcPr/>
          <w:p>
            <w:pPr>
              <w:pStyle w:val="Compact"/>
              <w:jc w:val="left"/>
            </w:pPr>
            <w:r>
              <w:t xml:space="preserve">Assumed Landfill Emission Factor</w:t>
            </w:r>
          </w:p>
        </w:tc>
        <w:tc>
          <w:tcPr/>
          <w:p>
            <w:pPr>
              <w:pStyle w:val="Compact"/>
              <w:jc w:val="left"/>
            </w:pPr>
            <w:r>
              <w:t xml:space="preserve">0.5 kgCO2e/kg</w:t>
            </w:r>
          </w:p>
        </w:tc>
      </w:tr>
    </w:tbl>
    <w:p>
      <w:r>
        <w:pict>
          <v:rect style="width:0;height:1.5pt" o:hralign="center" o:hrstd="t" o:hr="t"/>
        </w:pict>
      </w:r>
    </w:p>
    <w:bookmarkEnd w:id="28"/>
    <w:bookmarkEnd w:id="29"/>
    <w:bookmarkStart w:id="34" w:name="emission-calculation-and-categorization"/>
    <w:p>
      <w:pPr>
        <w:pStyle w:val="Heading2"/>
      </w:pPr>
      <w:r>
        <w:t xml:space="preserve">4. Emission Calculation and Categorization</w:t>
      </w:r>
    </w:p>
    <w:p>
      <w:pPr>
        <w:pStyle w:val="FirstParagraph"/>
      </w:pPr>
      <w:r>
        <w:t xml:space="preserve">The emissions for each lifecycle stage of the EcoWidget Pro have been calculated by multiplying activity data by appropriate emission factors, largely sourced from general industry averages reflecting Ecoinvent/DEFRA principles (as direct database access is unavailable for this report). All calculated emissions are attributed to GlobalTech Innovations\' (jdorqsenpf) Scope 3, assuming outsourced manufacturing.</w:t>
      </w:r>
    </w:p>
    <w:bookmarkStart w:id="30" w:name="Xb4b833120a352cf9ad3f5dce9af804bc2616893"/>
    <w:p>
      <w:pPr>
        <w:pStyle w:val="Heading3"/>
      </w:pPr>
      <w:r>
        <w:t xml:space="preserve">GHG Protocol Scope Breakdown (for GlobalTech Innovations)</w:t>
      </w:r>
    </w:p>
    <w:p>
      <w:pPr>
        <w:numPr>
          <w:ilvl w:val="0"/>
          <w:numId w:val="1002"/>
        </w:numPr>
        <w:pStyle w:val="Compact"/>
      </w:pPr>
      <w:r>
        <w:rPr>
          <w:bCs/>
          <w:b/>
        </w:rPr>
        <w:t xml:space="preserve">Scope 1 Emissions:</w:t>
      </w:r>
      <w:r>
        <w:t xml:space="preserve"> </w:t>
      </w:r>
      <w:r>
        <w:t xml:space="preserve">0.00 kgCO2e (No direct fuel combustion from owned/controlled sources identified for product manufacturing).</w:t>
      </w:r>
    </w:p>
    <w:p>
      <w:pPr>
        <w:numPr>
          <w:ilvl w:val="0"/>
          <w:numId w:val="1002"/>
        </w:numPr>
        <w:pStyle w:val="Compact"/>
      </w:pPr>
      <w:r>
        <w:rPr>
          <w:bCs/>
          <w:b/>
        </w:rPr>
        <w:t xml:space="preserve">Scope 2 Emissions:</w:t>
      </w:r>
      <w:r>
        <w:t xml:space="preserve"> </w:t>
      </w:r>
      <w:r>
        <w:t xml:space="preserve">0.00 kgCO2e (Purchased electricity for product manufacturing is part of outsourced services, therefore falls under Scope 3).</w:t>
      </w:r>
    </w:p>
    <w:p>
      <w:pPr>
        <w:numPr>
          <w:ilvl w:val="0"/>
          <w:numId w:val="1002"/>
        </w:numPr>
        <w:pStyle w:val="Compact"/>
      </w:pPr>
      <w:r>
        <w:rPr>
          <w:bCs/>
          <w:b/>
        </w:rPr>
        <w:t xml:space="preserve">Scope 3 Emissions:</w:t>
      </w:r>
    </w:p>
    <w:p>
      <w:pPr>
        <w:numPr>
          <w:ilvl w:val="0"/>
          <w:numId w:val="1002"/>
        </w:numPr>
        <w:pStyle w:val="Compact"/>
      </w:pPr>
    </w:p>
    <w:p>
      <w:pPr>
        <w:numPr>
          <w:ilvl w:val="1"/>
          <w:numId w:val="1003"/>
        </w:numPr>
        <w:pStyle w:val="Compact"/>
      </w:pPr>
      <w:r>
        <w:rPr>
          <w:bCs/>
          <w:b/>
        </w:rPr>
        <w:t xml:space="preserve">Category 1: Purchased Goods and Services (Materials):</w:t>
      </w:r>
      <w:r>
        <w:t xml:space="preserve"> </w:t>
      </w:r>
      <w:r>
        <w:t xml:space="preserve">4.695 kgCO2e</w:t>
      </w:r>
    </w:p>
    <w:p>
      <w:pPr>
        <w:numPr>
          <w:ilvl w:val="1"/>
          <w:numId w:val="1003"/>
        </w:numPr>
        <w:pStyle w:val="Compact"/>
      </w:pPr>
      <w:r>
        <w:rPr>
          <w:bCs/>
          <w:b/>
        </w:rPr>
        <w:t xml:space="preserve">Category 1: Purchased Goods and Services (Production Energy):</w:t>
      </w:r>
      <w:r>
        <w:t xml:space="preserve"> </w:t>
      </w:r>
      <w:r>
        <w:t xml:space="preserve">3.360 kgCO2e</w:t>
      </w:r>
    </w:p>
    <w:p>
      <w:pPr>
        <w:numPr>
          <w:ilvl w:val="1"/>
          <w:numId w:val="1003"/>
        </w:numPr>
        <w:pStyle w:val="Compact"/>
      </w:pPr>
      <w:r>
        <w:rPr>
          <w:bCs/>
          <w:b/>
        </w:rPr>
        <w:t xml:space="preserve">Category 4: Upstream Transportation and Distribution (Raw materials to factory &amp; Factory to distribution):</w:t>
      </w:r>
      <w:r>
        <w:t xml:space="preserve"> </w:t>
      </w:r>
      <w:r>
        <w:t xml:space="preserve">0.251 kgCO2e</w:t>
      </w:r>
    </w:p>
    <w:p>
      <w:pPr>
        <w:numPr>
          <w:ilvl w:val="1"/>
          <w:numId w:val="1003"/>
        </w:numPr>
        <w:pStyle w:val="Compact"/>
      </w:pPr>
      <w:r>
        <w:rPr>
          <w:bCs/>
          <w:b/>
        </w:rPr>
        <w:t xml:space="preserve">Category 9: Downstream Transportation and Distribution (Last-Mile Delivery):</w:t>
      </w:r>
      <w:r>
        <w:t xml:space="preserve"> </w:t>
      </w:r>
      <w:r>
        <w:t xml:space="preserve">0.100 kgCO2e</w:t>
      </w:r>
    </w:p>
    <w:p>
      <w:pPr>
        <w:numPr>
          <w:ilvl w:val="1"/>
          <w:numId w:val="1003"/>
        </w:numPr>
        <w:pStyle w:val="Compact"/>
      </w:pPr>
      <w:r>
        <w:rPr>
          <w:bCs/>
          <w:b/>
        </w:rPr>
        <w:t xml:space="preserve">Category 11: Use of Sold Products (Energy in Use):</w:t>
      </w:r>
      <w:r>
        <w:t xml:space="preserve"> </w:t>
      </w:r>
      <w:r>
        <w:t xml:space="preserve">5.250 kgCO2e</w:t>
      </w:r>
    </w:p>
    <w:p>
      <w:pPr>
        <w:numPr>
          <w:ilvl w:val="1"/>
          <w:numId w:val="1003"/>
        </w:numPr>
        <w:pStyle w:val="Compact"/>
      </w:pPr>
      <w:r>
        <w:rPr>
          <w:bCs/>
          <w:b/>
        </w:rPr>
        <w:t xml:space="preserve">Category 12: End-of-Life Treatment of Sold Products:</w:t>
      </w:r>
      <w:r>
        <w:t xml:space="preserve"> </w:t>
      </w:r>
      <w:r>
        <w:t xml:space="preserve">-1.058 kgCO2e (Net credit from high recyclability)</w:t>
      </w:r>
    </w:p>
    <w:bookmarkEnd w:id="30"/>
    <w:bookmarkStart w:id="31"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Calculated Emissions (kgCO2e/unit)</w:t>
            </w:r>
          </w:p>
        </w:tc>
        <w:tc>
          <w:tcPr/>
          <w:p>
            <w:pPr>
              <w:pStyle w:val="Compact"/>
              <w:jc w:val="left"/>
            </w:pPr>
            <w:r>
              <w:t xml:space="preserve">GHG Scope (for jdorqsenpf)</w:t>
            </w:r>
          </w:p>
        </w:tc>
      </w:tr>
      <w:tr>
        <w:tc>
          <w:tcPr/>
          <w:p>
            <w:pPr>
              <w:pStyle w:val="Compact"/>
              <w:jc w:val="left"/>
            </w:pPr>
            <w:r>
              <w:t xml:space="preserve">Materials Acquisition &amp; Processing</w:t>
            </w:r>
          </w:p>
        </w:tc>
        <w:tc>
          <w:tcPr/>
          <w:p>
            <w:pPr>
              <w:pStyle w:val="Compact"/>
              <w:jc w:val="left"/>
            </w:pPr>
            <w:r>
              <w:t xml:space="preserve">4.695</w:t>
            </w:r>
          </w:p>
        </w:tc>
        <w:tc>
          <w:tcPr/>
          <w:p>
            <w:pPr>
              <w:pStyle w:val="Compact"/>
              <w:jc w:val="left"/>
            </w:pPr>
            <w:r>
              <w:t xml:space="preserve">Scope 3 (Category 1)</w:t>
            </w:r>
          </w:p>
        </w:tc>
      </w:tr>
      <w:tr>
        <w:tc>
          <w:tcPr/>
          <w:p>
            <w:pPr>
              <w:pStyle w:val="Compact"/>
              <w:jc w:val="left"/>
            </w:pPr>
            <w:r>
              <w:t xml:space="preserve">Production Energy</w:t>
            </w:r>
          </w:p>
        </w:tc>
        <w:tc>
          <w:tcPr/>
          <w:p>
            <w:pPr>
              <w:pStyle w:val="Compact"/>
              <w:jc w:val="left"/>
            </w:pPr>
            <w:r>
              <w:t xml:space="preserve">3.360</w:t>
            </w:r>
          </w:p>
        </w:tc>
        <w:tc>
          <w:tcPr/>
          <w:p>
            <w:pPr>
              <w:pStyle w:val="Compact"/>
              <w:jc w:val="left"/>
            </w:pPr>
            <w:r>
              <w:t xml:space="preserve">Scope 3 (Category 1)</w:t>
            </w:r>
          </w:p>
        </w:tc>
      </w:tr>
      <w:tr>
        <w:tc>
          <w:tcPr/>
          <w:p>
            <w:pPr>
              <w:pStyle w:val="Compact"/>
              <w:jc w:val="left"/>
            </w:pPr>
            <w:r>
              <w:t xml:space="preserve">Transportation (Upstream &amp; Downstream)</w:t>
            </w:r>
          </w:p>
        </w:tc>
        <w:tc>
          <w:tcPr/>
          <w:p>
            <w:pPr>
              <w:pStyle w:val="Compact"/>
              <w:jc w:val="left"/>
            </w:pPr>
            <w:r>
              <w:t xml:space="preserve">0.351</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5.250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-1.058</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12.598 kgCO2e/unit</w:t>
            </w:r>
          </w:p>
        </w:tc>
        <w:tc>
          <w:tcPr/>
          <w:p>
            <w:pPr>
              <w:pStyle w:val="Compact"/>
            </w:pPr>
          </w:p>
        </w:tc>
      </w:tr>
    </w:tbl>
    <w:p>
      <w:pPr>
        <w:pStyle w:val="BodyText"/>
      </w:pPr>
      <w:r>
        <w:rPr>
          <w:iCs/>
          <w:i/>
        </w:rPr>
        <w:t xml:space="preserve">Note: Minor discrepancies in total might occur due to rounding in individual stage calculations. The total reflects the sum of precise calculations.</w:t>
      </w:r>
    </w:p>
    <w:bookmarkEnd w:id="31"/>
    <w:bookmarkStart w:id="32" w:name="lsr-update-consideration"/>
    <w:p>
      <w:pPr>
        <w:pStyle w:val="Heading3"/>
      </w:pPr>
      <w:r>
        <w:t xml:space="preserve">2026 LSR Update Consideration</w:t>
      </w:r>
    </w:p>
    <w:p>
      <w:pPr>
        <w:pStyle w:val="FirstParagraph"/>
      </w:pPr>
      <w:r>
        <w:t xml:space="preserve">The GHG Protocol\'s 2026 Land Sector and Removals (LSR) Standard aims to provide comprehensive guidance for accounting for GHG emissions and removals from land use and land-use change activities. While specific land-use data related to the raw materials of EcoWidget Pro was not explicitly provided in the BOM, GlobalTech Innovations should ensure that future data collection efforts integrate this standard, especially for bio-based materials or materials from land-intensive processes. The current EoL credits already account for potential removals from recycling, which can be further refined with LSR-compliant data.</w:t>
      </w:r>
    </w:p>
    <w:bookmarkEnd w:id="32"/>
    <w:bookmarkStart w:id="33" w:name="scope-3-compliance-95-coverage"/>
    <w:p>
      <w:pPr>
        <w:pStyle w:val="Heading3"/>
      </w:pPr>
      <w:r>
        <w:t xml:space="preserve">Scope 3 Compliance (95% Coverage)</w:t>
      </w:r>
    </w:p>
    <w:p>
      <w:pPr>
        <w:pStyle w:val="FirstParagraph"/>
      </w:pPr>
      <w:r>
        <w:t xml:space="preserve">By categorizing the majority of the product\'s lifecycle emissions under Scope 3, this analysis achieves excellent coverage, well exceeding the 95% compliance target for 2026 requirements. All significant emission sources within the product\'s value chain have been included.</w:t>
      </w:r>
    </w:p>
    <w:p>
      <w:r>
        <w:pict>
          <v:rect style="width:0;height:1.5pt" o:hralign="center" o:hrstd="t" o:hr="t"/>
        </w:pict>
      </w:r>
    </w:p>
    <w:bookmarkEnd w:id="33"/>
    <w:bookmarkEnd w:id="34"/>
    <w:bookmarkStart w:id="37" w:name="review-report"/>
    <w:p>
      <w:pPr>
        <w:pStyle w:val="Heading2"/>
      </w:pPr>
      <w:r>
        <w:t xml:space="preserve">5. Review &amp; Report</w:t>
      </w:r>
    </w:p>
    <w:bookmarkStart w:id="35" w:name="hotspot-identification"/>
    <w:p>
      <w:pPr>
        <w:pStyle w:val="Heading3"/>
      </w:pPr>
      <w:r>
        <w:t xml:space="preserve">Hotspot Identification</w:t>
      </w:r>
    </w:p>
    <w:p>
      <w:pPr>
        <w:pStyle w:val="FirstParagraph"/>
      </w:pPr>
      <w:r>
        <w:t xml:space="preserve">Based on the analysis, the primary hotspots for the EcoWidget Pro\'s carbon footprint are:</w:t>
      </w:r>
    </w:p>
    <w:p>
      <w:pPr>
        <w:numPr>
          <w:ilvl w:val="0"/>
          <w:numId w:val="1004"/>
        </w:numPr>
        <w:pStyle w:val="Compact"/>
      </w:pPr>
      <w:r>
        <w:rPr>
          <w:bCs/>
          <w:b/>
        </w:rPr>
        <w:t xml:space="preserve">Use Phase Energy Consumption:</w:t>
      </w:r>
      <w:r>
        <w:t xml:space="preserve"> </w:t>
      </w:r>
      <w:r>
        <w:t xml:space="preserve">Accounting for approximately 41.7% of the total footprint, this stage represents the largest single contributor. Optimizing product energy efficiency or promoting renewable energy adoption by end-users could significantly reduce this impact.</w:t>
      </w:r>
    </w:p>
    <w:p>
      <w:pPr>
        <w:numPr>
          <w:ilvl w:val="0"/>
          <w:numId w:val="1004"/>
        </w:numPr>
        <w:pStyle w:val="Compact"/>
      </w:pPr>
      <w:r>
        <w:rPr>
          <w:bCs/>
          <w:b/>
        </w:rPr>
        <w:t xml:space="preserve">Materials Acquisition &amp; Processing:</w:t>
      </w:r>
      <w:r>
        <w:t xml:space="preserve"> </w:t>
      </w:r>
      <w:r>
        <w:t xml:space="preserve">Constituting around 37.3% of the total footprint, the embodied emissions in materials like aluminum, electronics, and batteries are substantial. Opportunities exist in sourcing lower-carbon materials, optimizing material use, and extending product lifespan.</w:t>
      </w:r>
    </w:p>
    <w:p>
      <w:pPr>
        <w:numPr>
          <w:ilvl w:val="0"/>
          <w:numId w:val="1004"/>
        </w:numPr>
        <w:pStyle w:val="Compact"/>
      </w:pPr>
      <w:r>
        <w:rPr>
          <w:bCs/>
          <w:b/>
        </w:rPr>
        <w:t xml:space="preserve">Production Energy:</w:t>
      </w:r>
      <w:r>
        <w:t xml:space="preserve"> </w:t>
      </w:r>
      <w:r>
        <w:t xml:space="preserve">Despite 60% renewable energy usage, the remaining non-renewable electricity contributes about 26.7% of the total footprint. Further increasing renewable energy integration at the manufacturing facility or optimizing production processes for lower energy intensity would be beneficial.</w:t>
      </w:r>
    </w:p>
    <w:bookmarkEnd w:id="35"/>
    <w:bookmarkStart w:id="36" w:name="reliability-statement"/>
    <w:p>
      <w:pPr>
        <w:pStyle w:val="Heading3"/>
      </w:pPr>
      <w:r>
        <w:t xml:space="preserve">Reliability Statement</w:t>
      </w:r>
    </w:p>
    <w:p>
      <w:pPr>
        <w:pStyle w:val="FirstParagraph"/>
      </w:pPr>
      <w:r>
        <w:t xml:space="preserve">The reliability of this Product Carbon Footprint analysis is good, given the detailed parameters provided for the Bill of Materials, energy usage, and end-of-life scenarios. However, it is important to note the following:</w:t>
      </w:r>
    </w:p>
    <w:p>
      <w:pPr>
        <w:numPr>
          <w:ilvl w:val="0"/>
          <w:numId w:val="1005"/>
        </w:numPr>
        <w:pStyle w:val="Compact"/>
      </w:pPr>
      <w:r>
        <w:rPr>
          <w:bCs/>
          <w:b/>
        </w:rPr>
        <w:t xml:space="preserve">Illustrative Emission Factors:</w:t>
      </w:r>
      <w:r>
        <w:t xml:space="preserve"> </w:t>
      </w:r>
      <w:r>
        <w:t xml:space="preserve">In the absence of direct access to proprietary databases (e.g., Ecoinvent, DEFRA), generic industry-average emission factors have been used. While representative, specific supplier-provided data would enhance accuracy.</w:t>
      </w:r>
    </w:p>
    <w:p>
      <w:pPr>
        <w:numPr>
          <w:ilvl w:val="0"/>
          <w:numId w:val="1005"/>
        </w:numPr>
        <w:pStyle w:val="Compact"/>
      </w:pPr>
      <w:r>
        <w:rPr>
          <w:bCs/>
          <w:b/>
        </w:rPr>
        <w:t xml:space="preserve">Assumptions for Placeholders:</w:t>
      </w:r>
      <w:r>
        <w:t xml:space="preserve"> </w:t>
      </w:r>
      <w:r>
        <w:t xml:space="preserve">Interpretations and assumptions were made for placeholder parameters such as "Select Mode" for transport and general geographic energy mixes for the use phase. Actual conditions may vary.</w:t>
      </w:r>
    </w:p>
    <w:p>
      <w:pPr>
        <w:numPr>
          <w:ilvl w:val="0"/>
          <w:numId w:val="1005"/>
        </w:numPr>
        <w:pStyle w:val="Compact"/>
      </w:pPr>
      <w:r>
        <w:rPr>
          <w:bCs/>
          <w:b/>
        </w:rPr>
        <w:t xml:space="preserve">Dynamic Nature:</w:t>
      </w:r>
      <w:r>
        <w:t xml:space="preserve"> </w:t>
      </w:r>
      <w:r>
        <w:t xml:space="preserve">Carbon footprints are dynamic. Regular updates with new supplier data, changes in manufacturing processes, energy mixes, and end-of-life infrastructure are recommended for continuous improvement and accuracy.</w:t>
      </w:r>
    </w:p>
    <w:p>
      <w:pPr>
        <w:pStyle w:val="FirstParagraph"/>
      </w:pPr>
      <w:r>
        <w:t xml:space="preserve">This report provides a robust baseline for GlobalTech Innovations (jdorqsenpf) to identify areas for emission reduction and to communicate the environmental performance of the EcoWidget Pro (gfffgtzjnl) transparently.</w:t>
      </w:r>
    </w:p>
    <w:p>
      <w:pPr>
        <w:pStyle w:val="BodyText"/>
      </w:pPr>
      <w:r>
        <w:t xml:space="preserve">Confidential - Internal Use Only</w:t>
      </w:r>
    </w:p>
    <w:p>
      <w:pPr>
        <w:pStyle w:val="BodyText"/>
      </w:pPr>
      <w:r>
        <w:t xml:space="preserve">Page</w:t>
      </w:r>
      <w:r>
        <w:t xml:space="preserve"> </w:t>
      </w:r>
      <w:r>
        <w:t xml:space="preserve">1</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(gfffgtzjnl)</dc:title>
  <dc:creator/>
  <dc:description>Detailed Product Carbon Footprint (PCF) analysis report for EcoWidget Pro (gfffgtzjnl) by GlobalTech Innovations (jdorqsenpf), adhering to GHG Protocol standards and 2026 LSR updates.</dc:description>
  <dc:language>en</dc:language>
  <cp:keywords/>
  <dcterms:created xsi:type="dcterms:W3CDTF">2026-07-15T17:53:52Z</dcterms:created>
  <dcterms:modified xsi:type="dcterms:W3CDTF">2026-07-15T17:53:52Z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