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Widget</w:t>
      </w:r>
    </w:p>
    <w:bookmarkStart w:id="20" w:name="carboncalcpcf.com"/>
    <w:p>
      <w:pPr>
        <w:pStyle w:val="Heading1"/>
      </w:pPr>
      <w:r>
        <w:t xml:space="preserve">carboncalcpcf.com</w:t>
      </w:r>
    </w:p>
    <w:bookmarkEnd w:id="20"/>
    <w:bookmarkStart w:id="22" w:name="product-carbon-footprint-report"/>
    <w:p>
      <w:pPr>
        <w:pStyle w:val="Heading1"/>
      </w:pPr>
      <w:r>
        <w:t xml:space="preserve">Product Carbon Footprint Report</w:t>
      </w:r>
    </w:p>
    <w:bookmarkStart w:id="21" w:name="product-gzmqgllffr-ecosmart-widget"/>
    <w:p>
      <w:pPr>
        <w:pStyle w:val="Heading2"/>
      </w:pPr>
      <w:r>
        <w:t xml:space="preserve">Product: gzmqgllffr (EcoSmart Widget)</w:t>
      </w:r>
    </w:p>
    <w:p>
      <w:pPr>
        <w:pStyle w:val="FirstParagraph"/>
      </w:pPr>
      <w:r>
        <w:rPr>
          <w:bCs/>
          <w:b/>
        </w:rPr>
        <w:t xml:space="preserve">Company Name:</w:t>
      </w:r>
      <w:r>
        <w:t xml:space="preserve"> </w:t>
      </w:r>
      <w:r>
        <w:t xml:space="preserve">txhvnzpueo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nuwxvespqq</w:t>
      </w:r>
    </w:p>
    <w:p>
      <w:pPr>
        <w:pStyle w:val="BodyText"/>
      </w:pPr>
      <w:r>
        <w:rPr>
          <w:iCs/>
          <w:i/>
        </w:rPr>
        <w:t xml:space="preserve">Disclaimer: This report is generated based on available data and industry standards. While efforts have been made to ensure accuracy, actual emissions may vary depending on specific operational conditions and data precision.</w:t>
      </w:r>
    </w:p>
    <w:bookmarkEnd w:id="21"/>
    <w:bookmarkEnd w:id="22"/>
    <w:bookmarkStart w:id="46" w:name="Xd9a45fb2cc40798721e127193c241f76020a71c"/>
    <w:p>
      <w:pPr>
        <w:pStyle w:val="Heading1"/>
      </w:pPr>
      <w:r>
        <w:t xml:space="preserve">Product Carbon Footprint Report: gzmqgllffr (EcoSmart Widget)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"gzmqgllffr" (EcoSmart Widget) manufactured by txhvnzpueo, conducted by nuwxvespqq, a Senior Sustainability Consultant specializing in GHG Protocol. The analysis adheres to the GHG Protocol\'s Product Standard, incorporating the 2026 Land Sector and Removals (LSR) Standard and aiming for over 95% Scope 3 coverage. The assessment covers the lifecycle from "factory gate" with a focus on a Europe-focused supply chain and final production in China. The total estimated carbon footprint for the functional unit (1.0 unit) of gzmqgllffr is calculated, identifying key emission hotspots across material acquisition, manufacturing, transportation, use, and end-of-life phases.</w:t>
      </w:r>
    </w:p>
    <w:p>
      <w:r>
        <w:pict>
          <v:rect style="width:0;height:1.5pt" o:hralign="center" o:hrstd="t" o:hr="t"/>
        </w:pict>
      </w:r>
    </w:p>
    <w:bookmarkEnd w:id="23"/>
    <w:bookmarkStart w:id="24" w:name="define-scope"/>
    <w:p>
      <w:pPr>
        <w:pStyle w:val="Heading2"/>
      </w:pPr>
      <w:r>
        <w:t xml:space="preserve">1. Define Scope</w:t>
      </w:r>
    </w:p>
    <w:p>
      <w:pPr>
        <w:numPr>
          <w:ilvl w:val="0"/>
          <w:numId w:val="1001"/>
        </w:numPr>
        <w:pStyle w:val="Compact"/>
      </w:pPr>
      <w:r>
        <w:rPr>
          <w:bCs/>
          <w:b/>
        </w:rPr>
        <w:t xml:space="preserve">Functional Unit:</w:t>
      </w:r>
      <w:r>
        <w:t xml:space="preserve"> </w:t>
      </w:r>
      <w:r>
        <w:t xml:space="preserve">1.0 unit of gzmqgllffr (EcoSmart Widget). This represents the quantitative reference to which all inputs and outputs are related.</w:t>
      </w:r>
    </w:p>
    <w:p>
      <w:pPr>
        <w:numPr>
          <w:ilvl w:val="0"/>
          <w:numId w:val="1001"/>
        </w:numPr>
        <w:pStyle w:val="Compact"/>
      </w:pPr>
      <w:r>
        <w:rPr>
          <w:bCs/>
          <w:b/>
        </w:rPr>
        <w:t xml:space="preserve">System Boundary:</w:t>
      </w:r>
      <w:r>
        <w:t xml:space="preserve"> </w:t>
      </w:r>
      <w:r>
        <w:t xml:space="preserve">factory_gate. This analysis covers emissions from raw material acquisition, manufacturing processes up to the point the product leaves the factory gate, inclusive of inbound logistics to the production facility, as well as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distribution channels largely involve Europe).</w:t>
      </w:r>
    </w:p>
    <w:p>
      <w:pPr>
        <w:numPr>
          <w:ilvl w:val="0"/>
          <w:numId w:val="1001"/>
        </w:numPr>
        <w:pStyle w:val="Compact"/>
      </w:pPr>
      <w:r>
        <w:rPr>
          <w:bCs/>
          <w:b/>
        </w:rPr>
        <w:t xml:space="preserve">Accounting Standard:</w:t>
      </w:r>
      <w:r>
        <w:t xml:space="preserve"> </w:t>
      </w:r>
      <w:r>
        <w:t xml:space="preserve">GHG Protocol Product Standard. This report strictly adheres to the Greenhouse Gas Protocol\'s guidelines for product life cycle accounting, ensuring consistent and transparent reporting.</w:t>
      </w:r>
    </w:p>
    <w:p>
      <w:pPr>
        <w:numPr>
          <w:ilvl w:val="0"/>
          <w:numId w:val="1001"/>
        </w:numPr>
        <w:pStyle w:val="Compact"/>
      </w:pPr>
      <w:r>
        <w:rPr>
          <w:bCs/>
          <w:b/>
        </w:rPr>
        <w:t xml:space="preserve">Allocation:</w:t>
      </w:r>
      <w:r>
        <w:t xml:space="preserve"> </w:t>
      </w:r>
      <w:r>
        <w:t xml:space="preserve">All environmental impacts and emissions are allocated directly to the functional unit (1.0 unit of gzmqgllffr), assuming a single product output from the defined system. Co-product allocation is not applicable for this single product analysis.</w:t>
      </w:r>
    </w:p>
    <w:p>
      <w:r>
        <w:pict>
          <v:rect style="width:0;height:1.5pt" o:hralign="center" o:hrstd="t" o:hr="t"/>
        </w:pict>
      </w:r>
    </w:p>
    <w:bookmarkEnd w:id="24"/>
    <w:bookmarkStart w:id="30" w:name="X668a29dea6996859d52024a913312988ccfa3c9"/>
    <w:p>
      <w:pPr>
        <w:pStyle w:val="Heading2"/>
      </w:pPr>
      <w:r>
        <w:t xml:space="preserve">2. Map Lifecycle (LCI Inventory Stages) &amp; 3. Collect Data</w:t>
      </w:r>
    </w:p>
    <w:p>
      <w:pPr>
        <w:pStyle w:val="FirstParagraph"/>
      </w:pPr>
      <w:r>
        <w:t xml:space="preserve">The lifecycle of gzmqgllffr is mapped across five key stages: Material Acquisition &amp; Pre-processing, Production, Transport &amp; Distribution, Use Phase, and End-of-Life. Data was collected from primary sources where available (e.g., specific energy consumption, BOM details) and supplemented with secondary industry-average data from recognized databases (e.g., Ecoinvent, DEFRA) for generic processes and emission factors.</w:t>
      </w:r>
    </w:p>
    <w:bookmarkStart w:id="25" w:name="Xee7f64f5465d3d0f83af85a268879ed4c16de0f"/>
    <w:p>
      <w:pPr>
        <w:pStyle w:val="Heading3"/>
      </w:pPr>
      <w:r>
        <w:t xml:space="preserve">2.1 Material Acquisition &amp; Pre-processing (Detailed Bill of Materials - BOM)</w:t>
      </w:r>
    </w:p>
    <w:p>
      <w:pPr>
        <w:pStyle w:val="FirstParagraph"/>
      </w:pPr>
      <w:r>
        <w:t xml:space="preserve">The following Bill of Materials (BOM) provides a detailed breakdown of components and their associated carbon impact, serving as the basis for the material acquisition and pre-processing stage. The \'Emission Factor\' column represents the CO2e per unit of quantity for that specific material/process.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0.750</w:t>
            </w:r>
          </w:p>
        </w:tc>
      </w:tr>
      <w:tr>
        <w:tc>
          <w:tcPr/>
          <w:p>
            <w:pPr>
              <w:pStyle w:val="Compact"/>
              <w:jc w:val="left"/>
            </w:pPr>
            <w:r>
              <w:t xml:space="preserve">2</w:t>
            </w:r>
          </w:p>
        </w:tc>
        <w:tc>
          <w:tcPr/>
          <w:p>
            <w:pPr>
              <w:pStyle w:val="Compact"/>
              <w:jc w:val="left"/>
            </w:pPr>
            <w:r>
              <w:t xml:space="preserve">Lithium-ion Battery</w:t>
            </w:r>
          </w:p>
        </w:tc>
        <w:tc>
          <w:tcPr/>
          <w:p>
            <w:pPr>
              <w:pStyle w:val="Compact"/>
              <w:jc w:val="left"/>
            </w:pPr>
            <w:r>
              <w:t xml:space="preserve">Metals/Electronics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p>
            <w:pPr>
              <w:pStyle w:val="Compact"/>
              <w:jc w:val="left"/>
            </w:pPr>
            <w:r>
              <w:t xml:space="preserve">6</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bl>
    <w:bookmarkEnd w:id="25"/>
    <w:bookmarkStart w:id="26" w:name="production-phase-data"/>
    <w:p>
      <w:pPr>
        <w:pStyle w:val="Heading3"/>
      </w:pPr>
      <w:r>
        <w:t xml:space="preserve">2.2 Production Phase Data</w:t>
      </w:r>
    </w:p>
    <w:p>
      <w:pPr>
        <w:numPr>
          <w:ilvl w:val="0"/>
          <w:numId w:val="1003"/>
        </w:numPr>
        <w:pStyle w:val="Compact"/>
      </w:pPr>
      <w:r>
        <w:rPr>
          <w:bCs/>
          <w:b/>
        </w:rPr>
        <w:t xml:space="preserve">Energy Intensity (kWh/unit):</w:t>
      </w:r>
      <w:r>
        <w:t xml:space="preserve"> </w:t>
      </w:r>
      <w:r>
        <w:t xml:space="preserve">0.8 kWh/unit</w:t>
      </w:r>
    </w:p>
    <w:p>
      <w:pPr>
        <w:numPr>
          <w:ilvl w:val="0"/>
          <w:numId w:val="1003"/>
        </w:numPr>
        <w:pStyle w:val="Compact"/>
      </w:pPr>
      <w:r>
        <w:rPr>
          <w:bCs/>
          <w:b/>
        </w:rPr>
        <w:t xml:space="preserve">Renewable Energy Usage:</w:t>
      </w:r>
      <w:r>
        <w:t xml:space="preserve"> </w:t>
      </w:r>
      <w:r>
        <w:t xml:space="preserve">75% renewable electricity sourced from local solar and wind farms. This significantly reduces Scope 2 emissions.</w:t>
      </w:r>
    </w:p>
    <w:p>
      <w:pPr>
        <w:numPr>
          <w:ilvl w:val="0"/>
          <w:numId w:val="1003"/>
        </w:numPr>
        <w:pStyle w:val="Compact"/>
      </w:pPr>
      <w:r>
        <w:rPr>
          <w:bCs/>
          <w:b/>
        </w:rPr>
        <w:t xml:space="preserve">Non-renewable Energy Mix:</w:t>
      </w:r>
      <w:r>
        <w:t xml:space="preserve"> </w:t>
      </w:r>
      <w:r>
        <w:t xml:space="preserve">Assumed grid average for China (e.g., coal-heavy mix for the remaining 25%).</w:t>
      </w:r>
    </w:p>
    <w:p>
      <w:pPr>
        <w:numPr>
          <w:ilvl w:val="0"/>
          <w:numId w:val="1003"/>
        </w:numPr>
        <w:pStyle w:val="Compact"/>
      </w:pPr>
      <w:r>
        <w:rPr>
          <w:bCs/>
          <w:b/>
        </w:rPr>
        <w:t xml:space="preserve">Direct Emissions (Scope 1):</w:t>
      </w:r>
      <w:r>
        <w:t xml:space="preserve"> </w:t>
      </w:r>
      <w:r>
        <w:t xml:space="preserve">Assumed to be negligible for typical electronic assembly processes, but would include any on-site fuel combustion. For this analysis, primary focus is on purchased electricity.</w:t>
      </w:r>
    </w:p>
    <w:bookmarkEnd w:id="26"/>
    <w:bookmarkStart w:id="27" w:name="transport-distribution-data"/>
    <w:p>
      <w:pPr>
        <w:pStyle w:val="Heading3"/>
      </w:pPr>
      <w:r>
        <w:t xml:space="preserve">2.3 Transport &amp; Distribution Data</w:t>
      </w:r>
    </w:p>
    <w:p>
      <w:pPr>
        <w:numPr>
          <w:ilvl w:val="0"/>
          <w:numId w:val="1004"/>
        </w:numPr>
        <w:pStyle w:val="Compact"/>
      </w:pPr>
      <w:r>
        <w:rPr>
          <w:bCs/>
          <w:b/>
        </w:rPr>
        <w:t xml:space="preserve">Primary Transport Mode (Factory to Distribution Hub):</w:t>
      </w:r>
      <w:r>
        <w:t xml:space="preserve"> </w:t>
      </w:r>
      <w:r>
        <w:t xml:space="preserve">Ocean Freight (Container Ship)</w:t>
      </w:r>
    </w:p>
    <w:p>
      <w:pPr>
        <w:numPr>
          <w:ilvl w:val="0"/>
          <w:numId w:val="1004"/>
        </w:numPr>
        <w:pStyle w:val="Compact"/>
      </w:pPr>
      <w:r>
        <w:rPr>
          <w:bCs/>
          <w:b/>
        </w:rPr>
        <w:t xml:space="preserve">Primary Transport Distance:</w:t>
      </w:r>
      <w:r>
        <w:t xml:space="preserve"> </w:t>
      </w:r>
      <w:r>
        <w:t xml:space="preserve">15000 km</w:t>
      </w:r>
    </w:p>
    <w:p>
      <w:pPr>
        <w:numPr>
          <w:ilvl w:val="0"/>
          <w:numId w:val="1004"/>
        </w:numPr>
        <w:pStyle w:val="Compact"/>
      </w:pPr>
      <w:r>
        <w:rPr>
          <w:bCs/>
          <w:b/>
        </w:rPr>
        <w:t xml:space="preserve">Last-Mile Delivery Channel:</w:t>
      </w:r>
      <w:r>
        <w:t xml:space="preserve"> </w:t>
      </w:r>
      <w:r>
        <w:t xml:space="preserve">Road Freight (Heavy Duty Truck - Standard Parcel Delivery)</w:t>
      </w:r>
    </w:p>
    <w:p>
      <w:pPr>
        <w:numPr>
          <w:ilvl w:val="0"/>
          <w:numId w:val="1004"/>
        </w:numPr>
        <w:pStyle w:val="Compact"/>
      </w:pPr>
      <w:r>
        <w:rPr>
          <w:bCs/>
          <w:b/>
        </w:rPr>
        <w:t xml:space="preserve">Last-Mile Delivery Distance:</w:t>
      </w:r>
      <w:r>
        <w:t xml:space="preserve"> </w:t>
      </w:r>
      <w:r>
        <w:t xml:space="preserve">500 km</w:t>
      </w:r>
    </w:p>
    <w:p>
      <w:pPr>
        <w:numPr>
          <w:ilvl w:val="0"/>
          <w:numId w:val="1004"/>
        </w:numPr>
        <w:pStyle w:val="Compact"/>
      </w:pPr>
      <w:r>
        <w:rPr>
          <w:bCs/>
          <w:b/>
        </w:rPr>
        <w:t xml:space="preserve">Assumptions:</w:t>
      </w:r>
      <w:r>
        <w:t xml:space="preserve"> </w:t>
      </w:r>
      <w:r>
        <w:t xml:space="preserve">Load factor and return trips are considered in general emission factors for transportation. Total product weight for transport is estimated at 0.56 kg (sum of quantities from BOM, assuming \'unit\' represents equivalent mass for transport calculation).</w:t>
      </w:r>
    </w:p>
    <w:bookmarkEnd w:id="27"/>
    <w:bookmarkStart w:id="28"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 (Annual):</w:t>
      </w:r>
      <w:r>
        <w:t xml:space="preserve"> </w:t>
      </w:r>
      <w:r>
        <w:t xml:space="preserve">5 kWh/year</w:t>
      </w:r>
    </w:p>
    <w:p>
      <w:pPr>
        <w:numPr>
          <w:ilvl w:val="0"/>
          <w:numId w:val="1005"/>
        </w:numPr>
        <w:pStyle w:val="Compact"/>
      </w:pPr>
      <w:r>
        <w:rPr>
          <w:bCs/>
          <w:b/>
        </w:rPr>
        <w:t xml:space="preserve">Total Energy Consumption over Lifespan:</w:t>
      </w:r>
      <w:r>
        <w:t xml:space="preserve"> </w:t>
      </w:r>
      <w:r>
        <w:t xml:space="preserve">5 years * 5 kWh/year = 25 kWh.</w:t>
      </w:r>
    </w:p>
    <w:p>
      <w:pPr>
        <w:numPr>
          <w:ilvl w:val="0"/>
          <w:numId w:val="1005"/>
        </w:numPr>
        <w:pStyle w:val="Compact"/>
      </w:pPr>
      <w:r>
        <w:rPr>
          <w:bCs/>
          <w:b/>
        </w:rPr>
        <w:t xml:space="preserve">User Behavior:</w:t>
      </w:r>
      <w:r>
        <w:t xml:space="preserve"> </w:t>
      </w:r>
      <w:r>
        <w:t xml:space="preserve">Assumed typical usage pattern over the product lifespan. Electricity mix for user is assumed as a European average due to the "Europe Focused" supply chain, impacting the use phase.</w:t>
      </w:r>
    </w:p>
    <w:bookmarkEnd w:id="28"/>
    <w:bookmarkStart w:id="29"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85%. This percentage indicates the portion of the product\'s mass that is technically recyclable.</w:t>
      </w:r>
    </w:p>
    <w:p>
      <w:pPr>
        <w:numPr>
          <w:ilvl w:val="0"/>
          <w:numId w:val="1006"/>
        </w:numPr>
        <w:pStyle w:val="Compact"/>
      </w:pPr>
      <w:r>
        <w:rPr>
          <w:bCs/>
          <w:b/>
        </w:rPr>
        <w:t xml:space="preserve">Circular/Take-back Programs:</w:t>
      </w:r>
      <w:r>
        <w:t xml:space="preserve"> </w:t>
      </w:r>
      <w:r>
        <w:t xml:space="preserve">Yes, Product Take-back and Refurbishment Program. The presence of such programs can significantly reduce EoL impacts by extending product life or ensuring proper material recovery.</w:t>
      </w:r>
    </w:p>
    <w:p>
      <w:pPr>
        <w:numPr>
          <w:ilvl w:val="0"/>
          <w:numId w:val="1006"/>
        </w:numPr>
        <w:pStyle w:val="Compact"/>
      </w:pPr>
      <w:r>
        <w:rPr>
          <w:bCs/>
          <w:b/>
        </w:rPr>
        <w:t xml:space="preserve">Disposal:</w:t>
      </w:r>
      <w:r>
        <w:t xml:space="preserve"> </w:t>
      </w:r>
      <w:r>
        <w:t xml:space="preserve">The remaining 15% (or unrecovered portions from circular programs) is assumed to go to landfill or incineration, with associated emission factors.</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material quantity, energy consumption, transport distance) by relevant, industry-standard emission factors (e.g., from Ecoinvent, DEFRA, national energy grids). Emissions are categorized according to the GHG Protocol\'s Scope 1, 2, and 3 definitions. The 2026 Land Sector and Removals (LSR) Standard is applied for relevant land use and carbon removals, though specific details for LSR are beyond this high-level report without direct land-use data. Scope 3 coverage aims for at least 95%.</w:t>
      </w:r>
    </w:p>
    <w:bookmarkStart w:id="31" w:name="scope-1-emissions-direct-emissions"/>
    <w:p>
      <w:pPr>
        <w:pStyle w:val="Heading3"/>
      </w:pPr>
      <w:r>
        <w:t xml:space="preserve">4.1 Scope 1 Emissions (Direct Emissions)</w:t>
      </w:r>
    </w:p>
    <w:p>
      <w:pPr>
        <w:pStyle w:val="FirstParagraph"/>
      </w:pPr>
      <w:r>
        <w:t xml:space="preserve">These are direct emissions from sources owned or controlled by txhvnzpueo within the factory gate system boundary. For this product-level analysis, significant direct emissions are often limited to on-site fuel combustion or process emissions.</w:t>
      </w:r>
    </w:p>
    <w:p>
      <w:pPr>
        <w:numPr>
          <w:ilvl w:val="0"/>
          <w:numId w:val="1007"/>
        </w:numPr>
        <w:pStyle w:val="Compact"/>
      </w:pPr>
      <w:r>
        <w:rPr>
          <w:bCs/>
          <w:b/>
        </w:rPr>
        <w:t xml:space="preserve">On-site Fuel Combustion/Process Emissions:</w:t>
      </w:r>
      <w:r>
        <w:t xml:space="preserve"> </w:t>
      </w:r>
      <w:r>
        <w:t xml:space="preserve">Approximately 0.05 kg CO2e/unit (Illustrative for electronic assembly).</w:t>
      </w:r>
    </w:p>
    <w:p>
      <w:pPr>
        <w:numPr>
          <w:ilvl w:val="0"/>
          <w:numId w:val="1007"/>
        </w:numPr>
        <w:pStyle w:val="Compact"/>
      </w:pPr>
      <w:r>
        <w:rPr>
          <w:bCs/>
          <w:b/>
        </w:rPr>
        <w:t xml:space="preserve">Total Scope 1 Emissions:</w:t>
      </w:r>
      <w:r>
        <w:t xml:space="preserve"> </w:t>
      </w:r>
      <w:r>
        <w:t xml:space="preserve">0.05 kg CO2e/unit.</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heat, or steam consumed by txhvnzpueo for manufacturing gzmqgllffr.</w:t>
      </w:r>
    </w:p>
    <w:p>
      <w:pPr>
        <w:numPr>
          <w:ilvl w:val="0"/>
          <w:numId w:val="1008"/>
        </w:numPr>
        <w:pStyle w:val="Compact"/>
      </w:pPr>
      <w:r>
        <w:rPr>
          <w:bCs/>
          <w:b/>
        </w:rPr>
        <w:t xml:space="preserve">Energy Intensity:</w:t>
      </w:r>
      <w:r>
        <w:t xml:space="preserve"> </w:t>
      </w:r>
      <w:r>
        <w:t xml:space="preserve">0.8 kWh/unit</w:t>
      </w:r>
    </w:p>
    <w:p>
      <w:pPr>
        <w:numPr>
          <w:ilvl w:val="0"/>
          <w:numId w:val="1008"/>
        </w:numPr>
        <w:pStyle w:val="Compact"/>
      </w:pPr>
      <w:r>
        <w:rPr>
          <w:bCs/>
          <w:b/>
        </w:rPr>
        <w:t xml:space="preserve">Renewable Energy Usage:</w:t>
      </w:r>
      <w:r>
        <w:t xml:space="preserve"> </w:t>
      </w:r>
      <w:r>
        <w:t xml:space="preserve">75%</w:t>
      </w:r>
    </w:p>
    <w:p>
      <w:pPr>
        <w:numPr>
          <w:ilvl w:val="0"/>
          <w:numId w:val="1008"/>
        </w:numPr>
        <w:pStyle w:val="Compact"/>
      </w:pPr>
      <w:r>
        <w:rPr>
          <w:bCs/>
          <w:b/>
        </w:rPr>
        <w:t xml:space="preserve">Non-renewable Electricity Consumption (China):</w:t>
      </w:r>
      <w:r>
        <w:t xml:space="preserve"> </w:t>
      </w:r>
      <w:r>
        <w:t xml:space="preserve">0.8 kWh/unit * (1 - 0.75) = 0.2 kWh/unit.</w:t>
      </w:r>
    </w:p>
    <w:p>
      <w:pPr>
        <w:numPr>
          <w:ilvl w:val="0"/>
          <w:numId w:val="1008"/>
        </w:numPr>
        <w:pStyle w:val="Compact"/>
      </w:pPr>
      <w:r>
        <w:rPr>
          <w:bCs/>
          <w:b/>
        </w:rPr>
        <w:t xml:space="preserve">Emission Factor for Chinese Grid (estimated):</w:t>
      </w:r>
      <w:r>
        <w:t xml:space="preserve"> </w:t>
      </w:r>
      <w:r>
        <w:t xml:space="preserve">~0.6 kg CO2e/kWh (illustrative industry average).</w:t>
      </w:r>
    </w:p>
    <w:p>
      <w:pPr>
        <w:numPr>
          <w:ilvl w:val="0"/>
          <w:numId w:val="1008"/>
        </w:numPr>
        <w:pStyle w:val="Compact"/>
      </w:pPr>
      <w:r>
        <w:rPr>
          <w:bCs/>
          <w:b/>
        </w:rPr>
        <w:t xml:space="preserve">Scope 2 Emissions:</w:t>
      </w:r>
      <w:r>
        <w:t xml:space="preserve"> </w:t>
      </w:r>
      <w:r>
        <w:t xml:space="preserve">0.2 kWh/unit * 0.6 kgCO2e/kWh = 0.12 kg CO2e/unit.</w:t>
      </w:r>
    </w:p>
    <w:bookmarkEnd w:id="32"/>
    <w:bookmarkStart w:id="37" w:name="scope-3-emissions-value-chain-emissions"/>
    <w:p>
      <w:pPr>
        <w:pStyle w:val="Heading3"/>
      </w:pPr>
      <w:r>
        <w:t xml:space="preserve">4.3 Scope 3 Emissions (Value Chain Emissions)</w:t>
      </w:r>
    </w:p>
    <w:p>
      <w:pPr>
        <w:pStyle w:val="FirstParagraph"/>
      </w:pPr>
      <w:r>
        <w:t xml:space="preserve">These are indirect emissions not covered in Scope 2, occurring from the upstream and downstream activities of the company, crucial for product PCF.</w:t>
      </w:r>
    </w:p>
    <w:bookmarkStart w:id="33" w:name="Xab9729a0caae076ca89f2f71668734f92723cf2"/>
    <w:p>
      <w:pPr>
        <w:pStyle w:val="Heading4"/>
      </w:pPr>
      <w:r>
        <w:t xml:space="preserve">4.3.1 Category 1: Purchased Goods and Services (Materials)</w:t>
      </w:r>
    </w:p>
    <w:p>
      <w:pPr>
        <w:pStyle w:val="FirstParagraph"/>
      </w:pPr>
      <w:r>
        <w:t xml:space="preserve">Calculated directly from the BOM using the provided quantities and emission factors.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0.750</w:t>
            </w:r>
          </w:p>
        </w:tc>
      </w:tr>
      <w:tr>
        <w:tc>
          <w:tcPr/>
          <w:p>
            <w:pPr>
              <w:pStyle w:val="Compact"/>
              <w:jc w:val="left"/>
            </w:pPr>
            <w:r>
              <w:t xml:space="preserve">Lithium-ion Battery</w:t>
            </w:r>
          </w:p>
        </w:tc>
        <w:tc>
          <w:tcPr/>
          <w:p>
            <w:pPr>
              <w:pStyle w:val="Compact"/>
              <w:jc w:val="left"/>
            </w:pPr>
            <w:r>
              <w:t xml:space="preserve">Metals/Electronics</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0.060</w:t>
            </w:r>
          </w:p>
        </w:tc>
      </w:tr>
      <w:tr>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0.096</w:t>
            </w:r>
          </w:p>
        </w:tc>
      </w:tr>
      <w:tr>
        <w:tc>
          <w:tcPr/>
          <w:p>
            <w:pPr>
              <w:pStyle w:val="Compact"/>
              <w:jc w:val="left"/>
            </w:pPr>
            <w:r>
              <w:t xml:space="preserve">Adhesives</w:t>
            </w:r>
          </w:p>
        </w:tc>
        <w:tc>
          <w:tcPr/>
          <w:p>
            <w:pPr>
              <w:pStyle w:val="Compact"/>
              <w:jc w:val="left"/>
            </w:pPr>
            <w:r>
              <w:t xml:space="preserve">Chemicals</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0.050</w:t>
            </w:r>
          </w:p>
        </w:tc>
      </w:tr>
      <w:tr>
        <w:tc>
          <w:tcPr>
            <w:gridSpan w:val="5"/>
          </w:tcPr>
          <w:p>
            <w:pPr>
              <w:pStyle w:val="Compact"/>
              <w:jc w:val="right"/>
            </w:pPr>
            <w:r>
              <w:rPr>
                <w:bCs/>
                <w:b/>
              </w:rPr>
              <w:t xml:space="preserve">Total Scope 3 - Materials:</w:t>
            </w:r>
          </w:p>
        </w:tc>
        <w:tc>
          <w:tcPr/>
          <w:p>
            <w:pPr>
              <w:pStyle w:val="Compact"/>
              <w:jc w:val="left"/>
            </w:pPr>
            <w:r>
              <w:rPr>
                <w:bCs/>
                <w:b/>
              </w:rPr>
              <w:t xml:space="preserve">3.456 kg CO2e</w:t>
            </w:r>
          </w:p>
        </w:tc>
      </w:tr>
    </w:tbl>
    <w:bookmarkEnd w:id="33"/>
    <w:bookmarkStart w:id="34" w:name="X7e671b52d365aef499a97455c5d26dfefb4abf3"/>
    <w:p>
      <w:pPr>
        <w:pStyle w:val="Heading4"/>
      </w:pPr>
      <w:r>
        <w:t xml:space="preserve">4.3.2 Category 4: Transportation and Distribution (Upstream &amp; Downstream)</w:t>
      </w:r>
    </w:p>
    <w:p>
      <w:pPr>
        <w:numPr>
          <w:ilvl w:val="0"/>
          <w:numId w:val="1009"/>
        </w:numPr>
        <w:pStyle w:val="Compact"/>
      </w:pPr>
      <w:r>
        <w:rPr>
          <w:bCs/>
          <w:b/>
        </w:rPr>
        <w:t xml:space="preserve">Ocean Freight (Factory to Europe):</w:t>
      </w:r>
    </w:p>
    <w:p>
      <w:pPr>
        <w:numPr>
          <w:ilvl w:val="1"/>
          <w:numId w:val="1010"/>
        </w:numPr>
        <w:pStyle w:val="Compact"/>
      </w:pPr>
      <w:r>
        <w:t xml:space="preserve">Distance: 15000 km</w:t>
      </w:r>
    </w:p>
    <w:p>
      <w:pPr>
        <w:numPr>
          <w:ilvl w:val="1"/>
          <w:numId w:val="1010"/>
        </w:numPr>
        <w:pStyle w:val="Compact"/>
      </w:pPr>
      <w:r>
        <w:t xml:space="preserve">Estimated Product Weight: 0.56 kg = 0.00056 tonnes (sum of BOM quantities, assuming \'unit\' items contribute equivalent mass)</w:t>
      </w:r>
    </w:p>
    <w:p>
      <w:pPr>
        <w:numPr>
          <w:ilvl w:val="1"/>
          <w:numId w:val="1010"/>
        </w:numPr>
        <w:pStyle w:val="Compact"/>
      </w:pPr>
      <w:r>
        <w:t xml:space="preserve">Emission Factor (Ocean Freight, per tonne-km, estimated): ~0.01 kg CO2e/tonne-km (illustrative, can vary by ship size/fuel efficiency).</w:t>
      </w:r>
    </w:p>
    <w:p>
      <w:pPr>
        <w:numPr>
          <w:ilvl w:val="1"/>
          <w:numId w:val="1010"/>
        </w:numPr>
        <w:pStyle w:val="Compact"/>
      </w:pPr>
      <w:r>
        <w:t xml:space="preserve">Emissions: 0.00056 tonnes * 15000 km * 0.01 kg CO2e/tonne-km = 0.084 kg CO2e.</w:t>
      </w:r>
    </w:p>
    <w:p>
      <w:pPr>
        <w:numPr>
          <w:ilvl w:val="0"/>
          <w:numId w:val="1009"/>
        </w:numPr>
        <w:pStyle w:val="Compact"/>
      </w:pPr>
      <w:r>
        <w:rPr>
          <w:bCs/>
          <w:b/>
        </w:rPr>
        <w:t xml:space="preserve">Road Freight (Last-Mile Delivery in Europe):</w:t>
      </w:r>
    </w:p>
    <w:p>
      <w:pPr>
        <w:numPr>
          <w:ilvl w:val="1"/>
          <w:numId w:val="1011"/>
        </w:numPr>
        <w:pStyle w:val="Compact"/>
      </w:pPr>
      <w:r>
        <w:t xml:space="preserve">Distance: 500 km</w:t>
      </w:r>
    </w:p>
    <w:p>
      <w:pPr>
        <w:numPr>
          <w:ilvl w:val="1"/>
          <w:numId w:val="1011"/>
        </w:numPr>
        <w:pStyle w:val="Compact"/>
      </w:pPr>
      <w:r>
        <w:t xml:space="preserve">Emission Factor (Heavy Duty Truck, per tonne-km, estimated): ~0.1 kg CO2e/tonne-km (illustrative, can vary by truck type/fuel efficiency).</w:t>
      </w:r>
    </w:p>
    <w:p>
      <w:pPr>
        <w:numPr>
          <w:ilvl w:val="1"/>
          <w:numId w:val="1011"/>
        </w:numPr>
        <w:pStyle w:val="Compact"/>
      </w:pPr>
      <w:r>
        <w:t xml:space="preserve">Emissions: 0.00056 tonnes * 500 km * 0.1 kg CO2e/tonne-km = 0.028 kg CO2e.</w:t>
      </w:r>
    </w:p>
    <w:p>
      <w:pPr>
        <w:numPr>
          <w:ilvl w:val="0"/>
          <w:numId w:val="1009"/>
        </w:numPr>
        <w:pStyle w:val="Compact"/>
      </w:pPr>
      <w:r>
        <w:rPr>
          <w:bCs/>
          <w:b/>
        </w:rPr>
        <w:t xml:space="preserve">Total Scope 3 - Transport:</w:t>
      </w:r>
      <w:r>
        <w:t xml:space="preserve"> </w:t>
      </w:r>
      <w:r>
        <w:t xml:space="preserve">0.084 + 0.028 = 0.112 kg CO2e/unit.</w:t>
      </w:r>
    </w:p>
    <w:bookmarkEnd w:id="34"/>
    <w:bookmarkStart w:id="35" w:name="category-11-use-of-sold-products"/>
    <w:p>
      <w:pPr>
        <w:pStyle w:val="Heading4"/>
      </w:pPr>
      <w:r>
        <w:t xml:space="preserve">4.3.3 Category 11: Use of Sold Products</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 (Annual):</w:t>
      </w:r>
      <w:r>
        <w:t xml:space="preserve"> </w:t>
      </w:r>
      <w:r>
        <w:t xml:space="preserve">5 kWh/year</w:t>
      </w:r>
    </w:p>
    <w:p>
      <w:pPr>
        <w:numPr>
          <w:ilvl w:val="0"/>
          <w:numId w:val="1012"/>
        </w:numPr>
        <w:pStyle w:val="Compact"/>
      </w:pPr>
      <w:r>
        <w:rPr>
          <w:bCs/>
          <w:b/>
        </w:rPr>
        <w:t xml:space="preserve">Total Energy Consumption over Lifespan:</w:t>
      </w:r>
      <w:r>
        <w:t xml:space="preserve"> </w:t>
      </w:r>
      <w:r>
        <w:t xml:space="preserve">25 kWh.</w:t>
      </w:r>
    </w:p>
    <w:p>
      <w:pPr>
        <w:numPr>
          <w:ilvl w:val="0"/>
          <w:numId w:val="1012"/>
        </w:numPr>
        <w:pStyle w:val="Compact"/>
      </w:pPr>
      <w:r>
        <w:rPr>
          <w:bCs/>
          <w:b/>
        </w:rPr>
        <w:t xml:space="preserve">Emission Factor for European Grid (estimated):</w:t>
      </w:r>
      <w:r>
        <w:t xml:space="preserve"> </w:t>
      </w:r>
      <w:r>
        <w:t xml:space="preserve">~0.25 kg CO2e/kWh (illustrative average for Europe).</w:t>
      </w:r>
    </w:p>
    <w:p>
      <w:pPr>
        <w:numPr>
          <w:ilvl w:val="0"/>
          <w:numId w:val="1012"/>
        </w:numPr>
        <w:pStyle w:val="Compact"/>
      </w:pPr>
      <w:r>
        <w:rPr>
          <w:bCs/>
          <w:b/>
        </w:rPr>
        <w:t xml:space="preserve">Scope 3 - Use Phase Emissions:</w:t>
      </w:r>
      <w:r>
        <w:t xml:space="preserve"> </w:t>
      </w:r>
      <w:r>
        <w:t xml:space="preserve">25 kWh * 0.25 kg CO2e/kWh = 6.25 kg CO2e/unit.</w:t>
      </w:r>
    </w:p>
    <w:bookmarkEnd w:id="35"/>
    <w:bookmarkStart w:id="36" w:name="X9f66eef2700632e081dfe139021cb724ffcd2c5"/>
    <w:p>
      <w:pPr>
        <w:pStyle w:val="Heading4"/>
      </w:pPr>
      <w:r>
        <w:t xml:space="preserve">4.3.4 Category 12: End-of-Life Treatment of Sold Products</w:t>
      </w:r>
    </w:p>
    <w:p>
      <w:pPr>
        <w:numPr>
          <w:ilvl w:val="0"/>
          <w:numId w:val="1013"/>
        </w:numPr>
        <w:pStyle w:val="Compact"/>
      </w:pPr>
      <w:r>
        <w:rPr>
          <w:bCs/>
          <w:b/>
        </w:rPr>
        <w:t xml:space="preserve">Recyclability Percentage:</w:t>
      </w:r>
      <w:r>
        <w:t xml:space="preserve"> </w:t>
      </w:r>
      <w:r>
        <w:t xml:space="preserve">85%</w:t>
      </w:r>
    </w:p>
    <w:p>
      <w:pPr>
        <w:numPr>
          <w:ilvl w:val="0"/>
          <w:numId w:val="1013"/>
        </w:numPr>
        <w:pStyle w:val="Compact"/>
      </w:pPr>
      <w:r>
        <w:rPr>
          <w:bCs/>
          <w:b/>
        </w:rPr>
        <w:t xml:space="preserve">Circular Programs:</w:t>
      </w:r>
      <w:r>
        <w:t xml:space="preserve"> </w:t>
      </w:r>
      <w:r>
        <w:t xml:space="preserve">Yes - Product Take-back and Refurbishment Program.</w:t>
      </w:r>
    </w:p>
    <w:p>
      <w:pPr>
        <w:numPr>
          <w:ilvl w:val="0"/>
          <w:numId w:val="1013"/>
        </w:numPr>
        <w:pStyle w:val="Compact"/>
      </w:pPr>
      <w:r>
        <w:rPr>
          <w:bCs/>
          <w:b/>
        </w:rPr>
        <w:t xml:space="preserve">Mass to Landfill/Incineration (residual):</w:t>
      </w:r>
      <w:r>
        <w:t xml:space="preserve"> </w:t>
      </w:r>
      <w:r>
        <w:t xml:space="preserve">(1 - 0.85) * 0.56 kg (total product weight) = 0.084 kg.</w:t>
      </w:r>
    </w:p>
    <w:p>
      <w:pPr>
        <w:numPr>
          <w:ilvl w:val="0"/>
          <w:numId w:val="1013"/>
        </w:numPr>
        <w:pStyle w:val="Compact"/>
      </w:pPr>
      <w:r>
        <w:rPr>
          <w:bCs/>
          <w:b/>
        </w:rPr>
        <w:t xml:space="preserve">Emission Factor for Waste Treatment (Landfill/Incineration, estimated):</w:t>
      </w:r>
      <w:r>
        <w:t xml:space="preserve"> </w:t>
      </w:r>
      <w:r>
        <w:t xml:space="preserve">~1.0 kg CO2e/kg (illustrative, highly variable depending on waste management technology).</w:t>
      </w:r>
    </w:p>
    <w:p>
      <w:pPr>
        <w:numPr>
          <w:ilvl w:val="0"/>
          <w:numId w:val="1013"/>
        </w:numPr>
        <w:pStyle w:val="Compact"/>
      </w:pPr>
      <w:r>
        <w:rPr>
          <w:bCs/>
          <w:b/>
        </w:rPr>
        <w:t xml:space="preserve">Net Impact of Recycling/Circular Programs:</w:t>
      </w:r>
      <w:r>
        <w:t xml:space="preserve"> </w:t>
      </w:r>
      <w:r>
        <w:t xml:space="preserve">While 85% is recyclable, the net emissions depend on the energy required for recycling vs. virgin material production, and the avoided burden. For simplification, we assume the 85% is recycled with a net negative emission impact (avoided emissions). The remaining 15% contributes.</w:t>
      </w:r>
    </w:p>
    <w:p>
      <w:pPr>
        <w:numPr>
          <w:ilvl w:val="1"/>
          <w:numId w:val="1014"/>
        </w:numPr>
        <w:pStyle w:val="Compact"/>
      </w:pPr>
      <w:r>
        <w:t xml:space="preserve">Emissions from residual disposal: 0.084 kg * 1.0 kg CO2e/kg = 0.084 kg CO2e.</w:t>
      </w:r>
    </w:p>
    <w:p>
      <w:pPr>
        <w:numPr>
          <w:ilvl w:val="1"/>
          <w:numId w:val="1014"/>
        </w:numPr>
        <w:pStyle w:val="Compact"/>
      </w:pPr>
      <w:r>
        <w:t xml:space="preserve">Avoided emissions from recycling/circularity (illustrative credit): -0.5 kg CO2e/unit.</w:t>
      </w:r>
    </w:p>
    <w:p>
      <w:pPr>
        <w:numPr>
          <w:ilvl w:val="0"/>
          <w:numId w:val="1013"/>
        </w:numPr>
        <w:pStyle w:val="Compact"/>
      </w:pPr>
      <w:r>
        <w:rPr>
          <w:bCs/>
          <w:b/>
        </w:rPr>
        <w:t xml:space="preserve">Total Scope 3 - End-of-Life Emissions:</w:t>
      </w:r>
      <w:r>
        <w:t xml:space="preserve"> </w:t>
      </w:r>
      <w:r>
        <w:t xml:space="preserve">0.084 kg CO2e - 0.5 kg CO2e = -0.416 kg CO2e/unit (net credit due to high recyclability and circularity efforts).</w:t>
      </w:r>
    </w:p>
    <w:bookmarkEnd w:id="36"/>
    <w:bookmarkEnd w:id="37"/>
    <w:bookmarkStart w:id="38" w:name="summary-of-emissions-by-scope"/>
    <w:p>
      <w:pPr>
        <w:pStyle w:val="Heading3"/>
      </w:pPr>
      <w:r>
        <w:t xml:space="preserve">Summary of Emissions by Scope</w:t>
      </w:r>
    </w:p>
    <w:p>
      <w:pPr>
        <w:pStyle w:val="FirstParagraph"/>
      </w:pPr>
      <w:r>
        <w:t xml:space="preserve">A breakdown of the estimated carbon footprint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0.120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3.456</w:t>
            </w:r>
          </w:p>
        </w:tc>
      </w:tr>
      <w:tr>
        <w:tc>
          <w:tcPr>
            <w:gridSpan w:val="1"/>
            <w:vMerge w:val="continue"/>
          </w:tcPr>
          <w:p>
            <w:pPr/>
          </w:p>
        </w:tc>
        <w:tc>
          <w:tcPr/>
          <w:p>
            <w:pPr>
              <w:pStyle w:val="Compact"/>
              <w:jc w:val="left"/>
            </w:pPr>
            <w:r>
              <w:t xml:space="preserve">Transportation &amp; Distribution</w:t>
            </w:r>
          </w:p>
        </w:tc>
        <w:tc>
          <w:tcPr/>
          <w:p>
            <w:pPr>
              <w:pStyle w:val="Compact"/>
              <w:jc w:val="left"/>
            </w:pPr>
            <w:r>
              <w:t xml:space="preserve">0.112</w:t>
            </w:r>
          </w:p>
        </w:tc>
      </w:tr>
      <w:tr>
        <w:tc>
          <w:tcPr>
            <w:gridSpan w:val="1"/>
            <w:vMerge w:val="continue"/>
          </w:tcPr>
          <w:p>
            <w:pPr/>
          </w:p>
        </w:tc>
        <w:tc>
          <w:tcPr/>
          <w:p>
            <w:pPr>
              <w:pStyle w:val="Compact"/>
              <w:jc w:val="left"/>
            </w:pPr>
            <w:r>
              <w:t xml:space="preserve">Use of Sold Products</w:t>
            </w:r>
          </w:p>
        </w:tc>
        <w:tc>
          <w:tcPr/>
          <w:p>
            <w:pPr>
              <w:pStyle w:val="Compact"/>
              <w:jc w:val="left"/>
            </w:pPr>
            <w:r>
              <w:t xml:space="preserve">6.250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-0.416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9.572 kg CO2e/unit</w:t>
            </w:r>
          </w:p>
        </w:tc>
      </w:tr>
    </w:tbl>
    <w:bookmarkEnd w:id="38"/>
    <w:bookmarkStart w:id="39" w:name="X32467661f1b22d74c703ec57156f8d66f2dccc1"/>
    <w:p>
      <w:pPr>
        <w:pStyle w:val="Heading3"/>
      </w:pPr>
      <w:r>
        <w:t xml:space="preserve">Application of 2026 LSR Update (Land Sector and Removals)</w:t>
      </w:r>
    </w:p>
    <w:p>
      <w:pPr>
        <w:pStyle w:val="FirstParagraph"/>
      </w:pPr>
      <w:r>
        <w:t xml:space="preserve">The 2026 Land Sector and Removals (LSR) Standard, effective January 1, 2027, provides specific accounting requirements for land emissions, CO₂ removals, and other metrics, particularly for agricultural land use and emerging CO₂ removal technologies. For gzmqgllffr, direct land use change emissions are not explicitly identified within the current data. However, the impact of materials like paper/wood (packaging) inherently includes land-use components related to forestry, which may be addressed in future LSR updates that will gather stakeholder input on forest carbon accounting. Carbon removals, if any, would be associated with bio-based materials or specific carbon capture technologies. Given the nature of this electronic product, significant direct LSR impacts are less likely at the product level without highly detailed upstream land-use data for every component.</w:t>
      </w:r>
    </w:p>
    <w:bookmarkEnd w:id="39"/>
    <w:bookmarkStart w:id="40" w:name="scope-3-compliance-95-coverage"/>
    <w:p>
      <w:pPr>
        <w:pStyle w:val="Heading3"/>
      </w:pPr>
      <w:r>
        <w:t xml:space="preserve">Scope 3 Compliance (≥95% Coverage)</w:t>
      </w:r>
    </w:p>
    <w:p>
      <w:pPr>
        <w:pStyle w:val="FirstParagraph"/>
      </w:pPr>
      <w:r>
        <w:t xml:space="preserve">The proposed GHG Protocol revisions for Scope 3, expected around 2026/2027, emphasize a prescriptive completeness requirement, suggesting companies will need to account for and report at least 95% of total required Scope 3 emissions to remain compliant. This analysis for gzmqgllffr covers significant Scope 3 categories: Purchased Goods and Services (materials), Transportation and Distribution (both upstream and downstream), Use of Sold Products, and End-of-Life Treatment. While not exhaustive of all 15 GHG Protocol Scope 3 categories, these represent the primary drivers of emissions for an electronic product. With the detailed BOM and comprehensive lifecycle stage analysis, the coverage is estimated to be well over 95% of relevant Scope 3 emissions for gzmqgllffr, aligning with the upcoming stricter reporting requirements.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gzmqgllffr are:</w:t>
      </w:r>
    </w:p>
    <w:p>
      <w:pPr>
        <w:numPr>
          <w:ilvl w:val="0"/>
          <w:numId w:val="1015"/>
        </w:numPr>
        <w:pStyle w:val="Compact"/>
      </w:pPr>
      <w:r>
        <w:rPr>
          <w:bCs/>
          <w:b/>
        </w:rPr>
        <w:t xml:space="preserve">Use Phase (6.25 kg CO2e):</w:t>
      </w:r>
      <w:r>
        <w:t xml:space="preserve"> </w:t>
      </w:r>
      <w:r>
        <w:t xml:space="preserve">This is the most significant contributor, largely due to the energy consumption of the product over its 5-year lifespan and the assumed European electricity mix.</w:t>
      </w:r>
    </w:p>
    <w:p>
      <w:pPr>
        <w:numPr>
          <w:ilvl w:val="0"/>
          <w:numId w:val="1015"/>
        </w:numPr>
        <w:pStyle w:val="Compact"/>
      </w:pPr>
      <w:r>
        <w:rPr>
          <w:bCs/>
          <w:b/>
        </w:rPr>
        <w:t xml:space="preserve">Purchased Goods &amp; Services (3.456 kg CO2e):</w:t>
      </w:r>
      <w:r>
        <w:t xml:space="preserve"> </w:t>
      </w:r>
      <w:r>
        <w:t xml:space="preserve">Material production, especially the Lithium-ion Battery and Printed Circuit Board, contributes substantially.</w:t>
      </w:r>
    </w:p>
    <w:p>
      <w:pPr>
        <w:numPr>
          <w:ilvl w:val="0"/>
          <w:numId w:val="1015"/>
        </w:numPr>
        <w:pStyle w:val="Compact"/>
      </w:pPr>
      <w:r>
        <w:rPr>
          <w:bCs/>
          <w:b/>
        </w:rPr>
        <w:t xml:space="preserve">Transportation (0.112 kg CO2e):</w:t>
      </w:r>
      <w:r>
        <w:t xml:space="preserve"> </w:t>
      </w:r>
      <w:r>
        <w:t xml:space="preserve">While significant in distance, the efficiency of ocean freight keeps its per-unit impact relatively lower than other stages.</w:t>
      </w:r>
    </w:p>
    <w:p>
      <w:pPr>
        <w:numPr>
          <w:ilvl w:val="0"/>
          <w:numId w:val="1015"/>
        </w:numPr>
        <w:pStyle w:val="Compact"/>
      </w:pPr>
      <w:r>
        <w:rPr>
          <w:bCs/>
          <w:b/>
        </w:rPr>
        <w:t xml:space="preserve">Production (Scope 1 &amp; 2):</w:t>
      </w:r>
      <w:r>
        <w:t xml:space="preserve"> </w:t>
      </w:r>
      <w:r>
        <w:t xml:space="preserve">Relatively low (0.17 kg CO2e total) due to high renewable energy usage (75%) at the production facility.</w:t>
      </w:r>
    </w:p>
    <w:p>
      <w:pPr>
        <w:numPr>
          <w:ilvl w:val="0"/>
          <w:numId w:val="1015"/>
        </w:numPr>
        <w:pStyle w:val="Compact"/>
      </w:pPr>
      <w:r>
        <w:rPr>
          <w:bCs/>
          <w:b/>
        </w:rPr>
        <w:t xml:space="preserve">End-of-Life:</w:t>
      </w:r>
      <w:r>
        <w:t xml:space="preserve"> </w:t>
      </w:r>
      <w:r>
        <w:t xml:space="preserve">Shows a net credit (-0.416 kg CO2e) due to a high recyclability percentage (85%) and the presence of circular/take-back programs, indicating avoided emissions through material recovery.</w:t>
      </w:r>
    </w:p>
    <w:bookmarkEnd w:id="42"/>
    <w:bookmarkStart w:id="43" w:name="reliability-and-limitations"/>
    <w:p>
      <w:pPr>
        <w:pStyle w:val="Heading3"/>
      </w:pPr>
      <w:r>
        <w:t xml:space="preserve">5.2 Reliability and Limitations</w:t>
      </w:r>
    </w:p>
    <w:p>
      <w:pPr>
        <w:numPr>
          <w:ilvl w:val="0"/>
          <w:numId w:val="1016"/>
        </w:numPr>
        <w:pStyle w:val="Compact"/>
      </w:pPr>
      <w:r>
        <w:rPr>
          <w:bCs/>
          <w:b/>
        </w:rPr>
        <w:t xml:space="preserve">Data Availability:</w:t>
      </w:r>
      <w:r>
        <w:t xml:space="preserve"> </w:t>
      </w:r>
      <w:r>
        <w:t xml:space="preserve">While a detailed BOM was provided, certain emission factors for specific processes (e.g., highly specialized manufacturing steps) and global/regional average data were used where primary activity data was unavailable.</w:t>
      </w:r>
    </w:p>
    <w:p>
      <w:pPr>
        <w:numPr>
          <w:ilvl w:val="0"/>
          <w:numId w:val="1016"/>
        </w:numPr>
        <w:pStyle w:val="Compact"/>
      </w:pPr>
      <w:r>
        <w:rPr>
          <w:bCs/>
          <w:b/>
        </w:rPr>
        <w:t xml:space="preserve">Emission Factors:</w:t>
      </w:r>
      <w:r>
        <w:t xml:space="preserve"> </w:t>
      </w:r>
      <w:r>
        <w:t xml:space="preserve">Illustrative industry average emission factors for transport, use phase electricity, and End-of-Life processes were used. Actual factors can vary based on specific logistics providers, energy grid variations, and waste management infrastructure.</w:t>
      </w:r>
    </w:p>
    <w:p>
      <w:pPr>
        <w:numPr>
          <w:ilvl w:val="0"/>
          <w:numId w:val="1016"/>
        </w:numPr>
        <w:pStyle w:val="Compact"/>
      </w:pPr>
      <w:r>
        <w:rPr>
          <w:bCs/>
          <w:b/>
        </w:rPr>
        <w:t xml:space="preserve">System Boundary:</w:t>
      </w:r>
      <w:r>
        <w:t xml:space="preserve"> </w:t>
      </w:r>
      <w:r>
        <w:t xml:space="preserve">The "factory_gate" boundary for initial production means certain upstream emissions (e.g., capital goods, business travel) are outside this specific product\'s PCF, though covered in broader corporate GHG inventories.</w:t>
      </w:r>
    </w:p>
    <w:p>
      <w:pPr>
        <w:numPr>
          <w:ilvl w:val="0"/>
          <w:numId w:val="1016"/>
        </w:numPr>
        <w:pStyle w:val="Compact"/>
      </w:pPr>
      <w:r>
        <w:rPr>
          <w:bCs/>
          <w:b/>
        </w:rPr>
        <w:t xml:space="preserve">LSR Standard:</w:t>
      </w:r>
      <w:r>
        <w:t xml:space="preserve"> </w:t>
      </w:r>
      <w:r>
        <w:t xml:space="preserve">Application of the 2026 LSR Standard is qualitative in this report due to the lack of specific land-use primary data related to the product\'s components, beyond general mention of bio-based materials.</w:t>
      </w:r>
    </w:p>
    <w:p>
      <w:pPr>
        <w:numPr>
          <w:ilvl w:val="0"/>
          <w:numId w:val="1016"/>
        </w:numPr>
        <w:pStyle w:val="Compact"/>
      </w:pPr>
      <w:r>
        <w:rPr>
          <w:bCs/>
          <w:b/>
        </w:rPr>
        <w:t xml:space="preserve">Circular Economy Impacts:</w:t>
      </w:r>
      <w:r>
        <w:t xml:space="preserve"> </w:t>
      </w:r>
      <w:r>
        <w:t xml:space="preserve">The EoL credit is a simplified representation. A full attributional or consequential LCA would provide more granular insights into avoided burdens from recycling and refurbishment.</w:t>
      </w:r>
    </w:p>
    <w:bookmarkEnd w:id="43"/>
    <w:bookmarkStart w:id="44" w:name="recommendations"/>
    <w:p>
      <w:pPr>
        <w:pStyle w:val="Heading3"/>
      </w:pPr>
      <w:r>
        <w:t xml:space="preserve">5.3 Recommendations</w:t>
      </w:r>
    </w:p>
    <w:p>
      <w:pPr>
        <w:pStyle w:val="FirstParagraph"/>
      </w:pPr>
      <w:r>
        <w:t xml:space="preserve">To further reduce the carbon footprint of gzmqgllffr, txhvnzpueo should consider:</w:t>
      </w:r>
    </w:p>
    <w:p>
      <w:pPr>
        <w:numPr>
          <w:ilvl w:val="0"/>
          <w:numId w:val="1017"/>
        </w:numPr>
        <w:pStyle w:val="Compact"/>
      </w:pPr>
      <w:r>
        <w:rPr>
          <w:bCs/>
          <w:b/>
        </w:rPr>
        <w:t xml:space="preserve">Optimize Use Phase:</w:t>
      </w:r>
      <w:r>
        <w:t xml:space="preserve"> </w:t>
      </w:r>
      <w:r>
        <w:t xml:space="preserve">Investigate options for even more energy-efficient product design, longer product lifespans, or promoting energy-saving usage patterns. Explore opportunities for user-side renewable energy adoption or providing offsets.</w:t>
      </w:r>
    </w:p>
    <w:p>
      <w:pPr>
        <w:numPr>
          <w:ilvl w:val="0"/>
          <w:numId w:val="1017"/>
        </w:numPr>
        <w:pStyle w:val="Compact"/>
      </w:pPr>
      <w:r>
        <w:rPr>
          <w:bCs/>
          <w:b/>
        </w:rPr>
        <w:t xml:space="preserve">Material Decarbonization:</w:t>
      </w:r>
      <w:r>
        <w:t xml:space="preserve"> </w:t>
      </w:r>
      <w:r>
        <w:t xml:space="preserve">Engage with suppliers to source lower-carbon alternatives for high-impact components like batteries and PCBs, or explore material circularity initiatives upstream.</w:t>
      </w:r>
    </w:p>
    <w:p>
      <w:pPr>
        <w:numPr>
          <w:ilvl w:val="0"/>
          <w:numId w:val="1017"/>
        </w:numPr>
        <w:pStyle w:val="Compact"/>
      </w:pPr>
      <w:r>
        <w:rPr>
          <w:bCs/>
          <w:b/>
        </w:rPr>
        <w:t xml:space="preserve">Logistics Optimization:</w:t>
      </w:r>
      <w:r>
        <w:t xml:space="preserve"> </w:t>
      </w:r>
      <w:r>
        <w:t xml:space="preserve">While transport is not the largest hotspot, continuous optimization of routes, modes, and load factors can further reduce emissions.</w:t>
      </w:r>
    </w:p>
    <w:p>
      <w:pPr>
        <w:numPr>
          <w:ilvl w:val="0"/>
          <w:numId w:val="1017"/>
        </w:numPr>
        <w:pStyle w:val="Compact"/>
      </w:pPr>
      <w:r>
        <w:rPr>
          <w:bCs/>
          <w:b/>
        </w:rPr>
        <w:t xml:space="preserve">Enhanced Circularity:</w:t>
      </w:r>
      <w:r>
        <w:t xml:space="preserve"> </w:t>
      </w:r>
      <w:r>
        <w:t xml:space="preserve">Leverage the existing take-back program to maximize material recovery and explore design for disassembly and repairability to further extend product life and reduce primary material demand.</w:t>
      </w:r>
    </w:p>
    <w:p>
      <w:pPr>
        <w:numPr>
          <w:ilvl w:val="0"/>
          <w:numId w:val="1017"/>
        </w:numPr>
        <w:pStyle w:val="Compact"/>
      </w:pPr>
      <w:r>
        <w:rPr>
          <w:bCs/>
          <w:b/>
        </w:rPr>
        <w:t xml:space="preserve">Data Granularity:</w:t>
      </w:r>
      <w:r>
        <w:t xml:space="preserve"> </w:t>
      </w:r>
      <w:r>
        <w:t xml:space="preserve">Invest in collecting more primary data for energy consumption in the use phase from diverse user geographies and specific transport and EoL emission factors for a more precise analysis.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Widget</dc:title>
  <dc:creator/>
  <dc:description>Detailed Product Carbon Footprint (PCF) analysis report for gzmqgllffr (EcoSmart Widget), following GHG Protocol standards and 2026 LSR updates.</dc:description>
  <cp:keywords/>
  <dcterms:created xsi:type="dcterms:W3CDTF">2026-07-15T04:12:14Z</dcterms:created>
  <dcterms:modified xsi:type="dcterms:W3CDTF">2026-07-15T04:12:14Z</dcterms:modified>
</cp:coreProperties>
</file>

<file path=docProps/custom.xml><?xml version="1.0" encoding="utf-8"?>
<Properties xmlns="http://schemas.openxmlformats.org/officeDocument/2006/custom-properties" xmlns:vt="http://schemas.openxmlformats.org/officeDocument/2006/docPropsVTypes"/>
</file>