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Widget</w:t>
      </w:r>
      <w:r>
        <w:t xml:space="preserve"> </w:t>
      </w:r>
      <w:r>
        <w:t xml:space="preserve">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ecosmart-widget-x-dyhpvvvdrs"/>
    <w:p>
      <w:pPr>
        <w:pStyle w:val="Heading2"/>
      </w:pPr>
      <w:r>
        <w:t xml:space="preserve">For Product: EcoSmart Widget X (dyhpvvvdrs)</w:t>
      </w:r>
    </w:p>
    <w:p>
      <w:pPr>
        <w:pStyle w:val="FirstParagraph"/>
      </w:pPr>
      <w:r>
        <w:t xml:space="preserve">**Company Name:** Global Innovations Inc. (dzzzneofql)</w:t>
      </w:r>
    </w:p>
    <w:p>
      <w:pPr>
        <w:pStyle w:val="BodyText"/>
      </w:pPr>
      <w:r>
        <w:t xml:space="preserve">**Senior Sustainability Consultant:** Dr. Eleanor J. Khyzyqw (eyjkhyzqjw)</w:t>
      </w:r>
    </w:p>
    <w:p>
      <w:pPr>
        <w:pStyle w:val="BodyText"/>
      </w:pPr>
      <w:r>
        <w:t xml:space="preserve">**Accounting Standard:** GHG Protocol</w:t>
      </w:r>
    </w:p>
    <w:p>
      <w:pPr>
        <w:pStyle w:val="BodyText"/>
      </w:pPr>
      <w:r>
        <w:t xml:space="preserve">*Disclaimer: This report is generated based on available data and industry standards. The calculations provided offer a high-detail estimate of the Product Carbon Footprint for the EcoSmart Widget X (dyhpvvvdrs) under the specified parameters. While every effort has been made to ensure accuracy and adherence to the GHG Protocol, actual emissions may vary based on real-time operational data and continuous supply chain developments.*</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EcoSmart Widget X (dyhpvvvdrs)</w:t>
      </w:r>
    </w:p>
    <w:p>
      <w:pPr>
        <w:pStyle w:val="BodyText"/>
      </w:pPr>
      <w:r>
        <w:rPr>
          <w:bCs/>
          <w:b/>
        </w:rPr>
        <w:t xml:space="preserve">Company:</w:t>
      </w:r>
      <w:r>
        <w:t xml:space="preserve"> </w:t>
      </w:r>
      <w:r>
        <w:t xml:space="preserve">Global Innovations Inc. (dzzzneofql)</w:t>
      </w:r>
    </w:p>
    <w:p>
      <w:pPr>
        <w:pStyle w:val="BodyText"/>
      </w:pPr>
      <w:r>
        <w:rPr>
          <w:bCs/>
          <w:b/>
        </w:rPr>
        <w:t xml:space="preserve">Consultant:</w:t>
      </w:r>
      <w:r>
        <w:t xml:space="preserve"> </w:t>
      </w:r>
      <w:r>
        <w:t xml:space="preserve">Dr. Eleanor J. Khyzyqw (eyjkhyzqjw)</w:t>
      </w:r>
    </w:p>
    <w:p>
      <w:pPr>
        <w:pStyle w:val="BodyText"/>
      </w:pPr>
      <w:r>
        <w:rPr>
          <w:bCs/>
          <w:b/>
        </w:rPr>
        <w:t xml:space="preserve">Generated Date:</w:t>
      </w:r>
      <w:r>
        <w:t xml:space="preserve"> </w:t>
      </w:r>
      <w:r>
        <w:t xml:space="preserve">May 29,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EcoSmart Widget X, manufactured by Global Innovations Inc., conducted by Senior Sustainability Consultant Dr. Eleanor J. Khyzyqw. The analysis adheres to the Greenhouse Gas (GHG) Protocol, including the 2026 Land Sector and Removals (LSR) update and ensuring at least 95% coverage for Scope 3 reporting. The total carbon footprint for one functional unit of the EcoSmart Widget X is calculated to be</w:t>
      </w:r>
      <w:r>
        <w:t xml:space="preserve"> </w:t>
      </w:r>
      <w:r>
        <w:rPr>
          <w:bCs/>
          <w:b/>
        </w:rPr>
        <w:t xml:space="preserve">40.56 kgCO2e</w:t>
      </w:r>
      <w:r>
        <w:t xml:space="preserve">. The use phase and materials acquisition represent the most significant emission hotspots, highlighting key areas for potential carbon reduction strategies.</w:t>
      </w:r>
    </w:p>
    <w:p>
      <w:r>
        <w:pict>
          <v:rect style="width:0;height:1.5pt" o:hralign="center" o:hrstd="t" o:hr="t"/>
        </w:pict>
      </w:r>
    </w:p>
    <w:bookmarkEnd w:id="23"/>
    <w:bookmarkStart w:id="29" w:name="methodology-and-scope-definition"/>
    <w:p>
      <w:pPr>
        <w:pStyle w:val="Heading2"/>
      </w:pPr>
      <w:r>
        <w:t xml:space="preserve">1. Methodology and Scope Definition</w:t>
      </w:r>
    </w:p>
    <w:p>
      <w:pPr>
        <w:pStyle w:val="FirstParagraph"/>
      </w:pPr>
      <w:r>
        <w:t xml:space="preserve">The Product Carbon Footprint (PCF) analysis for the EcoSmart Widget X (dyhpvvvdrs) follows a robust methodology based on the GHG Protocol, a globally recognized standard for measuring and managing greenhouse gas emissions.</w:t>
      </w:r>
    </w:p>
    <w:bookmarkStart w:id="24" w:name="accounting-standard"/>
    <w:p>
      <w:pPr>
        <w:pStyle w:val="Heading3"/>
      </w:pPr>
      <w:r>
        <w:t xml:space="preserve">1.1. Accounting Standard</w:t>
      </w:r>
    </w:p>
    <w:p>
      <w:pPr>
        <w:pStyle w:val="FirstParagraph"/>
      </w:pPr>
      <w:r>
        <w:t xml:space="preserve">This PCF analysis is conducted in strict accordance with the **GHG Protocol**. Emissions are categorized into Scope 1 (direct emissions from owned or controlled sources), Scope 2 (indirect emissions from the generation of purchased energy), and Scope 3 (all other indirect emissions that occur in a company’s value chain). Special attention has been paid to the 2026 Land Sector and Removals (LSR) Standard for land use and carbon removals, and a commitment to over 95% coverage for Scope 3 reporting as per 2026 requirements has been maintained.</w:t>
      </w:r>
    </w:p>
    <w:bookmarkEnd w:id="24"/>
    <w:bookmarkStart w:id="25" w:name="functional-unit"/>
    <w:p>
      <w:pPr>
        <w:pStyle w:val="Heading3"/>
      </w:pPr>
      <w:r>
        <w:t xml:space="preserve">1.2. Functional Unit</w:t>
      </w:r>
    </w:p>
    <w:p>
      <w:pPr>
        <w:pStyle w:val="FirstParagraph"/>
      </w:pPr>
      <w:r>
        <w:t xml:space="preserve">The functional unit for this analysis is defined as:</w:t>
      </w:r>
      <w:r>
        <w:t xml:space="preserve"> </w:t>
      </w:r>
      <w:r>
        <w:rPr>
          <w:bCs/>
          <w:b/>
        </w:rPr>
        <w:t xml:space="preserve">1.0 unit of EcoSmart Widget X (dyhpvvvdrs)</w:t>
      </w:r>
      <w:r>
        <w:t xml:space="preserve">. This serves as the reference basis for all quantified inputs and outputs.</w:t>
      </w:r>
    </w:p>
    <w:bookmarkEnd w:id="25"/>
    <w:bookmarkStart w:id="26" w:name="system-boundary"/>
    <w:p>
      <w:pPr>
        <w:pStyle w:val="Heading3"/>
      </w:pPr>
      <w:r>
        <w:t xml:space="preserve">1.3. System Boundary</w:t>
      </w:r>
    </w:p>
    <w:p>
      <w:pPr>
        <w:pStyle w:val="FirstParagraph"/>
      </w:pPr>
      <w:r>
        <w:t xml:space="preserve">The system boundary for this PCF is defined as</w:t>
      </w:r>
      <w:r>
        <w:t xml:space="preserve"> </w:t>
      </w:r>
      <w:r>
        <w:rPr>
          <w:bCs/>
          <w:b/>
        </w:rPr>
        <w:t xml:space="preserve">"Cradle-to-Gate with Use Phase and End-of-Life considerations" (factory_gate)</w:t>
      </w:r>
      <w:r>
        <w:t xml:space="preserve">. This encompasses:</w:t>
      </w:r>
    </w:p>
    <w:p>
      <w:pPr>
        <w:numPr>
          <w:ilvl w:val="0"/>
          <w:numId w:val="1001"/>
        </w:numPr>
        <w:pStyle w:val="Compact"/>
      </w:pPr>
      <w:r>
        <w:t xml:space="preserve">Raw material extraction and processing.</w:t>
      </w:r>
    </w:p>
    <w:p>
      <w:pPr>
        <w:numPr>
          <w:ilvl w:val="0"/>
          <w:numId w:val="1001"/>
        </w:numPr>
        <w:pStyle w:val="Compact"/>
      </w:pPr>
      <w:r>
        <w:t xml:space="preserve">Manufacturing and production at the dzzzneofql facility.</w:t>
      </w:r>
    </w:p>
    <w:p>
      <w:pPr>
        <w:numPr>
          <w:ilvl w:val="0"/>
          <w:numId w:val="1001"/>
        </w:numPr>
        <w:pStyle w:val="Compact"/>
      </w:pPr>
      <w:r>
        <w:t xml:space="preserve">Transportation of raw materials to the factory.</w:t>
      </w:r>
    </w:p>
    <w:p>
      <w:pPr>
        <w:numPr>
          <w:ilvl w:val="0"/>
          <w:numId w:val="1001"/>
        </w:numPr>
        <w:pStyle w:val="Compact"/>
      </w:pPr>
      <w:r>
        <w:t xml:space="preserve">Transportation of the finished product to the customer (including last-mile delivery).</w:t>
      </w:r>
    </w:p>
    <w:p>
      <w:pPr>
        <w:numPr>
          <w:ilvl w:val="0"/>
          <w:numId w:val="1001"/>
        </w:numPr>
        <w:pStyle w:val="Compact"/>
      </w:pPr>
      <w:r>
        <w:t xml:space="preserve">The use phase of the product over its expected lifespan.</w:t>
      </w:r>
    </w:p>
    <w:p>
      <w:pPr>
        <w:numPr>
          <w:ilvl w:val="0"/>
          <w:numId w:val="1001"/>
        </w:numPr>
        <w:pStyle w:val="Compact"/>
      </w:pPr>
      <w:r>
        <w:t xml:space="preserve">End-of-life treatment, including recycling and disposal.</w:t>
      </w:r>
    </w:p>
    <w:bookmarkEnd w:id="26"/>
    <w:bookmarkStart w:id="27" w:name="geographic-scope"/>
    <w:p>
      <w:pPr>
        <w:pStyle w:val="Heading3"/>
      </w:pPr>
      <w:r>
        <w:t xml:space="preserve">1.4.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upstream material transport)</w:t>
      </w:r>
    </w:p>
    <w:bookmarkEnd w:id="27"/>
    <w:bookmarkStart w:id="28" w:name="allocation"/>
    <w:p>
      <w:pPr>
        <w:pStyle w:val="Heading3"/>
      </w:pPr>
      <w:r>
        <w:t xml:space="preserve">1.5. Allocation</w:t>
      </w:r>
    </w:p>
    <w:p>
      <w:pPr>
        <w:pStyle w:val="FirstParagraph"/>
      </w:pPr>
      <w:r>
        <w:t xml:space="preserve">Emissions are allocated based on physical allocation (mass-based) for material inputs and direct attribution for energy consumption and transportation activities. For multi-product systems, impacts are allocated to the EcoSmart Widget X based on its share of the overall production volume and processes.</w:t>
      </w:r>
    </w:p>
    <w:p>
      <w:r>
        <w:pict>
          <v:rect style="width:0;height:1.5pt" o:hralign="center" o:hrstd="t" o:hr="t"/>
        </w:pict>
      </w:r>
    </w:p>
    <w:bookmarkEnd w:id="28"/>
    <w:bookmarkEnd w:id="29"/>
    <w:bookmarkStart w:id="35" w:name="lifecycle-mapping-lci-inventory-stages"/>
    <w:p>
      <w:pPr>
        <w:pStyle w:val="Heading2"/>
      </w:pPr>
      <w:r>
        <w:t xml:space="preserve">2. Lifecycle Mapping (LCI Inventory Stages)</w:t>
      </w:r>
    </w:p>
    <w:p>
      <w:pPr>
        <w:pStyle w:val="FirstParagraph"/>
      </w:pPr>
      <w:r>
        <w:t xml:space="preserve">The lifecycle of the EcoSmart Widget X (dyhpvvvdrs) has been mapped across five key stages to ensure a comprehensive assessment of its environmental impact.</w:t>
      </w:r>
    </w:p>
    <w:bookmarkStart w:id="30" w:name="materials-acquisition-pre-processing"/>
    <w:p>
      <w:pPr>
        <w:pStyle w:val="Heading3"/>
      </w:pPr>
      <w:r>
        <w:t xml:space="preserve">2.1. Materials Acquisition &amp; Pre-processing</w:t>
      </w:r>
    </w:p>
    <w:p>
      <w:pPr>
        <w:pStyle w:val="FirstParagraph"/>
      </w:pPr>
      <w:r>
        <w:t xml:space="preserve">This stage covers the extraction of raw materials and their transformation into usable components for the EcoSmart Widget X.</w:t>
      </w:r>
    </w:p>
    <w:p>
      <w:pPr>
        <w:numPr>
          <w:ilvl w:val="0"/>
          <w:numId w:val="1003"/>
        </w:numPr>
        <w:pStyle w:val="Compact"/>
      </w:pPr>
      <w:r>
        <w:rPr>
          <w:bCs/>
          <w:b/>
        </w:rPr>
        <w:t xml:space="preserve">Detailed Bill of Materials (BOM):</w:t>
      </w:r>
      <w:r>
        <w:t xml:space="preserve"> </w:t>
      </w:r>
      <w:r>
        <w:t xml:space="preserve">The provided BOM (xuwzhwhm) has been used to identify and quantify all material inputs. This includes sourcing of primary and recycled metals, plastics, and electronic components.</w:t>
      </w:r>
    </w:p>
    <w:p>
      <w:pPr>
        <w:numPr>
          <w:ilvl w:val="0"/>
          <w:numId w:val="1003"/>
        </w:numPr>
        <w:pStyle w:val="Compact"/>
      </w:pPr>
      <w:r>
        <w:rPr>
          <w:bCs/>
          <w:b/>
        </w:rPr>
        <w:t xml:space="preserve">Focus:</w:t>
      </w:r>
      <w:r>
        <w:t xml:space="preserve"> </w:t>
      </w:r>
      <w:r>
        <w:t xml:space="preserve">Emissions associated with mining, refining, chemical processing, and preliminary manufacturing of components.</w:t>
      </w:r>
    </w:p>
    <w:bookmarkEnd w:id="30"/>
    <w:bookmarkStart w:id="31" w:name="manufacturingproduction"/>
    <w:p>
      <w:pPr>
        <w:pStyle w:val="Heading3"/>
      </w:pPr>
      <w:r>
        <w:t xml:space="preserve">2.2. Manufacturing/Production</w:t>
      </w:r>
    </w:p>
    <w:p>
      <w:pPr>
        <w:pStyle w:val="FirstParagraph"/>
      </w:pPr>
      <w:r>
        <w:t xml:space="preserve">This stage covers all processes occurring at the manufacturing facility of Global Innovations Inc. (dzzzneofql) in China.</w:t>
      </w:r>
    </w:p>
    <w:p>
      <w:pPr>
        <w:numPr>
          <w:ilvl w:val="0"/>
          <w:numId w:val="1004"/>
        </w:numPr>
        <w:pStyle w:val="Compact"/>
      </w:pPr>
      <w:r>
        <w:rPr>
          <w:bCs/>
          <w:b/>
        </w:rPr>
        <w:t xml:space="preserve">Energy Inputs:</w:t>
      </w:r>
      <w:r>
        <w:t xml:space="preserve"> </w:t>
      </w:r>
      <w:r>
        <w:t xml:space="preserve">Electricity consumption for assembly, machinery operation, and facility heating/cooling.</w:t>
      </w:r>
    </w:p>
    <w:p>
      <w:pPr>
        <w:numPr>
          <w:ilvl w:val="0"/>
          <w:numId w:val="1004"/>
        </w:numPr>
        <w:pStyle w:val="Compact"/>
      </w:pPr>
      <w:r>
        <w:rPr>
          <w:bCs/>
          <w:b/>
        </w:rPr>
        <w:t xml:space="preserve">Renewable Energy Usage:</w:t>
      </w:r>
      <w:r>
        <w:t xml:space="preserve"> </w:t>
      </w:r>
      <w:r>
        <w:t xml:space="preserve">The specified renewable energy usage (egyvwwnind) directly impacts the emissions from purchased electricity.</w:t>
      </w:r>
    </w:p>
    <w:p>
      <w:pPr>
        <w:numPr>
          <w:ilvl w:val="0"/>
          <w:numId w:val="1004"/>
        </w:numPr>
        <w:pStyle w:val="Compact"/>
      </w:pPr>
      <w:r>
        <w:rPr>
          <w:bCs/>
          <w:b/>
        </w:rPr>
        <w:t xml:space="preserve">Energy Intensity:</w:t>
      </w:r>
      <w:r>
        <w:t xml:space="preserve"> </w:t>
      </w:r>
      <w:r>
        <w:t xml:space="preserve">The energy consumption per unit (pgvyxpgofi) is a critical factor here.</w:t>
      </w:r>
    </w:p>
    <w:p>
      <w:pPr>
        <w:numPr>
          <w:ilvl w:val="0"/>
          <w:numId w:val="1004"/>
        </w:numPr>
        <w:pStyle w:val="Compact"/>
      </w:pPr>
      <w:r>
        <w:rPr>
          <w:bCs/>
          <w:b/>
        </w:rPr>
        <w:t xml:space="preserve">Focus:</w:t>
      </w:r>
      <w:r>
        <w:t xml:space="preserve"> </w:t>
      </w:r>
      <w:r>
        <w:t xml:space="preserve">Direct emissions (Scope 1, if applicable) and indirect emissions from purchased electricity (Scope 2).</w:t>
      </w:r>
    </w:p>
    <w:bookmarkEnd w:id="31"/>
    <w:bookmarkStart w:id="32" w:name="transportation"/>
    <w:p>
      <w:pPr>
        <w:pStyle w:val="Heading3"/>
      </w:pPr>
      <w:r>
        <w:t xml:space="preserve">2.3. Transportation</w:t>
      </w:r>
    </w:p>
    <w:p>
      <w:pPr>
        <w:pStyle w:val="FirstParagraph"/>
      </w:pPr>
      <w:r>
        <w:t xml:space="preserve">Transportation encompasses both the upstream logistics of raw materials and the downstream distribution of the finished product.</w:t>
      </w:r>
    </w:p>
    <w:p>
      <w:pPr>
        <w:numPr>
          <w:ilvl w:val="0"/>
          <w:numId w:val="1005"/>
        </w:numPr>
        <w:pStyle w:val="Compact"/>
      </w:pPr>
      <w:r>
        <w:rPr>
          <w:bCs/>
          <w:b/>
        </w:rPr>
        <w:t xml:space="preserve">Upstream Transport:</w:t>
      </w:r>
      <w:r>
        <w:t xml:space="preserve"> </w:t>
      </w:r>
      <w:r>
        <w:t xml:space="preserve">Movement of materials from suppliers in Europe to the manufacturing facility in China.</w:t>
      </w:r>
    </w:p>
    <w:p>
      <w:pPr>
        <w:numPr>
          <w:ilvl w:val="0"/>
          <w:numId w:val="1005"/>
        </w:numPr>
        <w:pStyle w:val="Compact"/>
      </w:pPr>
      <w:r>
        <w:rPr>
          <w:bCs/>
          <w:b/>
        </w:rPr>
        <w:t xml:space="preserve">Downstream Transport:</w:t>
      </w:r>
      <w:r>
        <w:t xml:space="preserve"> </w:t>
      </w:r>
      <w:r>
        <w:t xml:space="preserve">Delivery of the finished EcoSmart Widget X from the factory to the end-customer.</w:t>
      </w:r>
    </w:p>
    <w:p>
      <w:pPr>
        <w:numPr>
          <w:ilvl w:val="0"/>
          <w:numId w:val="1005"/>
        </w:numPr>
        <w:pStyle w:val="Compact"/>
      </w:pPr>
      <w:r>
        <w:rPr>
          <w:bCs/>
          <w:b/>
        </w:rPr>
        <w:t xml:space="preserve">Transport Mode:</w:t>
      </w:r>
      <w:r>
        <w:t xml:space="preserve"> </w:t>
      </w:r>
      <w:r>
        <w:t xml:space="preserve">Select Mode (Road Freight - HGV 16-32 tonnes).</w:t>
      </w:r>
    </w:p>
    <w:p>
      <w:pPr>
        <w:numPr>
          <w:ilvl w:val="0"/>
          <w:numId w:val="1005"/>
        </w:numPr>
        <w:pStyle w:val="Compact"/>
      </w:pPr>
      <w:r>
        <w:rPr>
          <w:bCs/>
          <w:b/>
        </w:rPr>
        <w:t xml:space="preserve">Transport Distance:</w:t>
      </w:r>
      <w:r>
        <w:t xml:space="preserve"> </w:t>
      </w:r>
      <w:r>
        <w:t xml:space="preserve">fsgupvmmlh (1500 km).</w:t>
      </w:r>
    </w:p>
    <w:p>
      <w:pPr>
        <w:numPr>
          <w:ilvl w:val="0"/>
          <w:numId w:val="1005"/>
        </w:numPr>
        <w:pStyle w:val="Compact"/>
      </w:pPr>
      <w:r>
        <w:rPr>
          <w:bCs/>
          <w:b/>
        </w:rPr>
        <w:t xml:space="preserve">Last-Mile Delivery Channel:</w:t>
      </w:r>
      <w:r>
        <w:t xml:space="preserve"> </w:t>
      </w:r>
      <w:r>
        <w:t xml:space="preserve">Delivery Type (Road Freight - Light Commercial Vehicle).</w:t>
      </w:r>
    </w:p>
    <w:p>
      <w:pPr>
        <w:numPr>
          <w:ilvl w:val="0"/>
          <w:numId w:val="1005"/>
        </w:numPr>
        <w:pStyle w:val="Compact"/>
      </w:pPr>
      <w:r>
        <w:rPr>
          <w:bCs/>
          <w:b/>
        </w:rPr>
        <w:t xml:space="preserve">Focus:</w:t>
      </w:r>
      <w:r>
        <w:t xml:space="preserve"> </w:t>
      </w:r>
      <w:r>
        <w:t xml:space="preserve">Scope 3 emissions from fuel combustion in transport vehicles.</w:t>
      </w:r>
    </w:p>
    <w:bookmarkEnd w:id="32"/>
    <w:bookmarkStart w:id="33" w:name="use-phase"/>
    <w:p>
      <w:pPr>
        <w:pStyle w:val="Heading3"/>
      </w:pPr>
      <w:r>
        <w:t xml:space="preserve">2.4. Use Phase</w:t>
      </w:r>
    </w:p>
    <w:p>
      <w:pPr>
        <w:pStyle w:val="FirstParagraph"/>
      </w:pPr>
      <w:r>
        <w:t xml:space="preserve">This stage accounts for the emissions generated during the typical operational life of the EcoSmart Widget X by the end-user.</w:t>
      </w:r>
    </w:p>
    <w:p>
      <w:pPr>
        <w:numPr>
          <w:ilvl w:val="0"/>
          <w:numId w:val="1006"/>
        </w:numPr>
        <w:pStyle w:val="Compact"/>
      </w:pPr>
      <w:r>
        <w:rPr>
          <w:bCs/>
          <w:b/>
        </w:rPr>
        <w:t xml:space="preserve">Product Lifespan:</w:t>
      </w:r>
      <w:r>
        <w:t xml:space="preserve"> </w:t>
      </w:r>
      <w:r>
        <w:t xml:space="preserve">utkfyzoumw (5 years).</w:t>
      </w:r>
    </w:p>
    <w:p>
      <w:pPr>
        <w:numPr>
          <w:ilvl w:val="0"/>
          <w:numId w:val="1006"/>
        </w:numPr>
        <w:pStyle w:val="Compact"/>
      </w:pPr>
      <w:r>
        <w:rPr>
          <w:bCs/>
          <w:b/>
        </w:rPr>
        <w:t xml:space="preserve">Energy Consumption in Use:</w:t>
      </w:r>
      <w:r>
        <w:t xml:space="preserve"> </w:t>
      </w:r>
      <w:r>
        <w:t xml:space="preserve">omyolmnzds (10 kWh/year).</w:t>
      </w:r>
    </w:p>
    <w:p>
      <w:pPr>
        <w:numPr>
          <w:ilvl w:val="0"/>
          <w:numId w:val="1006"/>
        </w:numPr>
        <w:pStyle w:val="Compact"/>
      </w:pPr>
      <w:r>
        <w:rPr>
          <w:bCs/>
          <w:b/>
        </w:rPr>
        <w:t xml:space="preserve">Focus:</w:t>
      </w:r>
      <w:r>
        <w:t xml:space="preserve"> </w:t>
      </w:r>
      <w:r>
        <w:t xml:space="preserve">Scope 3 emissions from electricity consumption during product operation.</w:t>
      </w:r>
    </w:p>
    <w:bookmarkEnd w:id="33"/>
    <w:bookmarkStart w:id="34" w:name="end-of-life-eol"/>
    <w:p>
      <w:pPr>
        <w:pStyle w:val="Heading3"/>
      </w:pPr>
      <w:r>
        <w:t xml:space="preserve">2.5. End-of-Life (EoL)</w:t>
      </w:r>
    </w:p>
    <w:p>
      <w:pPr>
        <w:pStyle w:val="FirstParagraph"/>
      </w:pPr>
      <w:r>
        <w:t xml:space="preserve">The EoL stage considers the fate of the product after its useful life.</w:t>
      </w:r>
    </w:p>
    <w:p>
      <w:pPr>
        <w:numPr>
          <w:ilvl w:val="0"/>
          <w:numId w:val="1007"/>
        </w:numPr>
        <w:pStyle w:val="Compact"/>
      </w:pPr>
      <w:r>
        <w:rPr>
          <w:bCs/>
          <w:b/>
        </w:rPr>
        <w:t xml:space="preserve">Recyclability Percentage:</w:t>
      </w:r>
      <w:r>
        <w:t xml:space="preserve"> </w:t>
      </w:r>
      <w:r>
        <w:t xml:space="preserve">khkszvjqqt (70%).</w:t>
      </w:r>
    </w:p>
    <w:p>
      <w:pPr>
        <w:numPr>
          <w:ilvl w:val="0"/>
          <w:numId w:val="1007"/>
        </w:numPr>
        <w:pStyle w:val="Compact"/>
      </w:pPr>
      <w:r>
        <w:rPr>
          <w:bCs/>
          <w:b/>
        </w:rPr>
        <w:t xml:space="preserve">Circular/Take-back Programs:</w:t>
      </w:r>
      <w:r>
        <w:t xml:space="preserve"> </w:t>
      </w:r>
      <w:r>
        <w:t xml:space="preserve">kfmxzkhjre (Yes, established program with 20% return rate).</w:t>
      </w:r>
    </w:p>
    <w:p>
      <w:pPr>
        <w:numPr>
          <w:ilvl w:val="0"/>
          <w:numId w:val="1007"/>
        </w:numPr>
        <w:pStyle w:val="Compact"/>
      </w:pPr>
      <w:r>
        <w:rPr>
          <w:bCs/>
          <w:b/>
        </w:rPr>
        <w:t xml:space="preserve">Focus:</w:t>
      </w:r>
      <w:r>
        <w:t xml:space="preserve"> </w:t>
      </w:r>
      <w:r>
        <w:t xml:space="preserve">Emissions from landfilling or incineration of non-recycled components, and avoided emissions due to recycling. The presence of circular/take-back programs enhances the efficiency of material recovery and reduces overall waste.</w:t>
      </w:r>
    </w:p>
    <w:p>
      <w:r>
        <w:pict>
          <v:rect style="width:0;height:1.5pt" o:hralign="center" o:hrstd="t" o:hr="t"/>
        </w:pict>
      </w:r>
    </w:p>
    <w:bookmarkEnd w:id="34"/>
    <w:bookmarkEnd w:id="35"/>
    <w:bookmarkStart w:id="41" w:name="data-collection-and-inputs"/>
    <w:p>
      <w:pPr>
        <w:pStyle w:val="Heading2"/>
      </w:pPr>
      <w:r>
        <w:t xml:space="preserve">3. Data Collection and Inputs</w:t>
      </w:r>
    </w:p>
    <w:p>
      <w:pPr>
        <w:pStyle w:val="FirstParagraph"/>
      </w:pPr>
      <w:r>
        <w:t xml:space="preserve">This section details the primary and secondary data points collected and utilized for the PCF calculation.</w:t>
      </w:r>
    </w:p>
    <w:bookmarkStart w:id="36" w:name="X96711e28e45c2422a32c23586305fcdc9ec62c0"/>
    <w:p>
      <w:pPr>
        <w:pStyle w:val="Heading3"/>
      </w:pPr>
      <w:r>
        <w:t xml:space="preserve">3.1. Detailed Bill of Materials (BOM) - (xuwzhwhm)</w:t>
      </w:r>
    </w:p>
    <w:p>
      <w:pPr>
        <w:pStyle w:val="FirstParagraph"/>
      </w:pPr>
      <w:r>
        <w:t xml:space="preserve">The following table presents the material inputs and their associated carbon impacts, as provided in the Detailed Bill of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7.00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Recycled ABS Plastic</w:t>
            </w:r>
          </w:p>
        </w:tc>
        <w:tc>
          <w:tcPr/>
          <w:p>
            <w:pPr>
              <w:pStyle w:val="Compact"/>
              <w:jc w:val="left"/>
            </w:pPr>
            <w:r>
              <w:t xml:space="preserve">Plastics</w:t>
            </w:r>
          </w:p>
        </w:tc>
        <w:tc>
          <w:tcPr/>
          <w:p>
            <w:pPr>
              <w:pStyle w:val="Compact"/>
              <w:jc w:val="left"/>
            </w:pPr>
            <w:r>
              <w:t xml:space="preserve">Recycling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0.45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Manufacturing</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8.00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Processing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0.12</w:t>
            </w:r>
          </w:p>
        </w:tc>
      </w:tr>
      <w:tr>
        <w:tc>
          <w:tcPr>
            <w:gridSpan w:val="7"/>
          </w:tcPr>
          <w:p>
            <w:pPr>
              <w:pStyle w:val="Compact"/>
              <w:jc w:val="left"/>
            </w:pPr>
            <w:r>
              <w:t xml:space="preserve">Total Material Carbon Footprint (kgCO2e)</w:t>
            </w:r>
          </w:p>
        </w:tc>
        <w:tc>
          <w:tcPr/>
          <w:p>
            <w:pPr>
              <w:pStyle w:val="Compact"/>
              <w:jc w:val="left"/>
            </w:pPr>
            <w:r>
              <w:t xml:space="preserve">5.55</w:t>
            </w:r>
          </w:p>
        </w:tc>
      </w:tr>
    </w:tbl>
    <w:bookmarkEnd w:id="36"/>
    <w:bookmarkStart w:id="37" w:name="energy-inputs-production-phase"/>
    <w:p>
      <w:pPr>
        <w:pStyle w:val="Heading3"/>
      </w:pPr>
      <w:r>
        <w:t xml:space="preserve">3.2. Energy Inputs (Production Phase)</w:t>
      </w:r>
    </w:p>
    <w:p>
      <w:pPr>
        <w:numPr>
          <w:ilvl w:val="0"/>
          <w:numId w:val="1008"/>
        </w:numPr>
        <w:pStyle w:val="Compact"/>
      </w:pPr>
      <w:r>
        <w:rPr>
          <w:bCs/>
          <w:b/>
        </w:rPr>
        <w:t xml:space="preserve">Renewable Energy Usage:</w:t>
      </w:r>
      <w:r>
        <w:t xml:space="preserve"> </w:t>
      </w:r>
      <w:r>
        <w:t xml:space="preserve">50% (egyvwwnind)</w:t>
      </w:r>
    </w:p>
    <w:p>
      <w:pPr>
        <w:numPr>
          <w:ilvl w:val="0"/>
          <w:numId w:val="1008"/>
        </w:numPr>
        <w:pStyle w:val="Compact"/>
      </w:pPr>
      <w:r>
        <w:rPr>
          <w:bCs/>
          <w:b/>
        </w:rPr>
        <w:t xml:space="preserve">Energy Intensity (kWh/unit):</w:t>
      </w:r>
      <w:r>
        <w:t xml:space="preserve"> </w:t>
      </w:r>
      <w:r>
        <w:t xml:space="preserve">15 kWh/unit (pgvyxpgofi)</w:t>
      </w:r>
    </w:p>
    <w:p>
      <w:pPr>
        <w:numPr>
          <w:ilvl w:val="0"/>
          <w:numId w:val="1008"/>
        </w:numPr>
        <w:pStyle w:val="Compact"/>
      </w:pPr>
      <w:r>
        <w:rPr>
          <w:bCs/>
          <w:b/>
        </w:rPr>
        <w:t xml:space="preserve">Electricity Grid Emission Factor (China):</w:t>
      </w:r>
      <w:r>
        <w:t xml:space="preserve"> </w:t>
      </w:r>
      <w:r>
        <w:t xml:space="preserve">0.6205 kgCO2e/kWh (National Average 2023)</w:t>
      </w:r>
    </w:p>
    <w:bookmarkEnd w:id="37"/>
    <w:bookmarkStart w:id="38" w:name="logistics-data"/>
    <w:p>
      <w:pPr>
        <w:pStyle w:val="Heading3"/>
      </w:pPr>
      <w:r>
        <w:t xml:space="preserve">3.3. Logistics Data</w:t>
      </w:r>
    </w:p>
    <w:p>
      <w:pPr>
        <w:numPr>
          <w:ilvl w:val="0"/>
          <w:numId w:val="1009"/>
        </w:numPr>
        <w:pStyle w:val="Compact"/>
      </w:pPr>
      <w:r>
        <w:rPr>
          <w:bCs/>
          <w:b/>
        </w:rPr>
        <w:t xml:space="preserve">Upstream Transport Mode:</w:t>
      </w:r>
      <w:r>
        <w:t xml:space="preserve"> </w:t>
      </w:r>
      <w:r>
        <w:t xml:space="preserve">Road Freight (HGV 16-32 tonnes) (Select Mode)</w:t>
      </w:r>
    </w:p>
    <w:p>
      <w:pPr>
        <w:numPr>
          <w:ilvl w:val="0"/>
          <w:numId w:val="1009"/>
        </w:numPr>
        <w:pStyle w:val="Compact"/>
      </w:pPr>
      <w:r>
        <w:rPr>
          <w:bCs/>
          <w:b/>
        </w:rPr>
        <w:t xml:space="preserve">Upstream Transport Distance:</w:t>
      </w:r>
      <w:r>
        <w:t xml:space="preserve"> </w:t>
      </w:r>
      <w:r>
        <w:t xml:space="preserve">1500 km (fsgupvmmlh)</w:t>
      </w:r>
    </w:p>
    <w:p>
      <w:pPr>
        <w:numPr>
          <w:ilvl w:val="0"/>
          <w:numId w:val="1009"/>
        </w:numPr>
        <w:pStyle w:val="Compact"/>
      </w:pPr>
      <w:r>
        <w:rPr>
          <w:bCs/>
          <w:b/>
        </w:rPr>
        <w:t xml:space="preserve">Upstream Transport Emission Factor:</w:t>
      </w:r>
      <w:r>
        <w:t xml:space="preserve"> </w:t>
      </w:r>
      <w:r>
        <w:t xml:space="preserve">0.08 kgCO2e/tonne-km (estimated from Ecoinvent data for HGV 16-32 tonnes, Europe)</w:t>
      </w:r>
    </w:p>
    <w:p>
      <w:pPr>
        <w:numPr>
          <w:ilvl w:val="0"/>
          <w:numId w:val="1009"/>
        </w:numPr>
        <w:pStyle w:val="Compact"/>
      </w:pPr>
      <w:r>
        <w:rPr>
          <w:bCs/>
          <w:b/>
        </w:rPr>
        <w:t xml:space="preserve">Last-Mile Delivery Channel:</w:t>
      </w:r>
      <w:r>
        <w:t xml:space="preserve"> </w:t>
      </w:r>
      <w:r>
        <w:t xml:space="preserve">Road Freight (Light Commercial Vehicle) (Delivery Type)</w:t>
      </w:r>
    </w:p>
    <w:p>
      <w:pPr>
        <w:numPr>
          <w:ilvl w:val="0"/>
          <w:numId w:val="1009"/>
        </w:numPr>
        <w:pStyle w:val="Compact"/>
      </w:pPr>
      <w:r>
        <w:rPr>
          <w:bCs/>
          <w:b/>
        </w:rPr>
        <w:t xml:space="preserve">Last-Mile Delivery Distance:</w:t>
      </w:r>
      <w:r>
        <w:t xml:space="preserve"> </w:t>
      </w:r>
      <w:r>
        <w:t xml:space="preserve">50 km (estimated)</w:t>
      </w:r>
    </w:p>
    <w:p>
      <w:pPr>
        <w:numPr>
          <w:ilvl w:val="0"/>
          <w:numId w:val="1009"/>
        </w:numPr>
        <w:pStyle w:val="Compact"/>
      </w:pPr>
      <w:r>
        <w:rPr>
          <w:bCs/>
          <w:b/>
        </w:rPr>
        <w:t xml:space="preserve">Last-Mile Delivery Emission Factor:</w:t>
      </w:r>
      <w:r>
        <w:t xml:space="preserve"> </w:t>
      </w:r>
      <w:r>
        <w:t xml:space="preserve">0.2 kgCO2e/tonne-km (estimated from Ecoinvent data for Light Commercial Vehicle)</w:t>
      </w:r>
    </w:p>
    <w:bookmarkEnd w:id="38"/>
    <w:bookmarkStart w:id="39" w:name="product-use-phase-data"/>
    <w:p>
      <w:pPr>
        <w:pStyle w:val="Heading3"/>
      </w:pPr>
      <w:r>
        <w:t xml:space="preserve">3.4. Product Use Phase Data</w:t>
      </w:r>
    </w:p>
    <w:p>
      <w:pPr>
        <w:numPr>
          <w:ilvl w:val="0"/>
          <w:numId w:val="1010"/>
        </w:numPr>
        <w:pStyle w:val="Compact"/>
      </w:pPr>
      <w:r>
        <w:rPr>
          <w:bCs/>
          <w:b/>
        </w:rPr>
        <w:t xml:space="preserve">Product Lifespan:</w:t>
      </w:r>
      <w:r>
        <w:t xml:space="preserve"> </w:t>
      </w:r>
      <w:r>
        <w:t xml:space="preserve">5 years (utkfyzoumw)</w:t>
      </w:r>
    </w:p>
    <w:p>
      <w:pPr>
        <w:numPr>
          <w:ilvl w:val="0"/>
          <w:numId w:val="1010"/>
        </w:numPr>
        <w:pStyle w:val="Compact"/>
      </w:pPr>
      <w:r>
        <w:rPr>
          <w:bCs/>
          <w:b/>
        </w:rPr>
        <w:t xml:space="preserve">Energy Consumption in Use:</w:t>
      </w:r>
      <w:r>
        <w:t xml:space="preserve"> </w:t>
      </w:r>
      <w:r>
        <w:t xml:space="preserve">10 kWh/year (omyolmnzds)</w:t>
      </w:r>
    </w:p>
    <w:p>
      <w:pPr>
        <w:numPr>
          <w:ilvl w:val="0"/>
          <w:numId w:val="1010"/>
        </w:numPr>
        <w:pStyle w:val="Compact"/>
      </w:pPr>
      <w:r>
        <w:rPr>
          <w:bCs/>
          <w:b/>
        </w:rPr>
        <w:t xml:space="preserve">Electricity Grid Emission Factor (China):</w:t>
      </w:r>
      <w:r>
        <w:t xml:space="preserve"> </w:t>
      </w:r>
      <w:r>
        <w:t xml:space="preserve">0.6205 kgCO2e/kWh</w:t>
      </w:r>
    </w:p>
    <w:bookmarkEnd w:id="39"/>
    <w:bookmarkStart w:id="40" w:name="end-of-life-eol-data"/>
    <w:p>
      <w:pPr>
        <w:pStyle w:val="Heading3"/>
      </w:pPr>
      <w:r>
        <w:t xml:space="preserve">3.5. End-of-Life (EoL) Data</w:t>
      </w:r>
    </w:p>
    <w:p>
      <w:pPr>
        <w:numPr>
          <w:ilvl w:val="0"/>
          <w:numId w:val="1011"/>
        </w:numPr>
        <w:pStyle w:val="Compact"/>
      </w:pPr>
      <w:r>
        <w:rPr>
          <w:bCs/>
          <w:b/>
        </w:rPr>
        <w:t xml:space="preserve">Recyclability Percentage:</w:t>
      </w:r>
      <w:r>
        <w:t xml:space="preserve"> </w:t>
      </w:r>
      <w:r>
        <w:t xml:space="preserve">70% (khkszvjqqt)</w:t>
      </w:r>
    </w:p>
    <w:p>
      <w:pPr>
        <w:numPr>
          <w:ilvl w:val="0"/>
          <w:numId w:val="1011"/>
        </w:numPr>
        <w:pStyle w:val="Compact"/>
      </w:pPr>
      <w:r>
        <w:rPr>
          <w:bCs/>
          <w:b/>
        </w:rPr>
        <w:t xml:space="preserve">Circular/Take-back Programs:</w:t>
      </w:r>
      <w:r>
        <w:t xml:space="preserve"> </w:t>
      </w:r>
      <w:r>
        <w:t xml:space="preserve">Yes, established program with 20% return rate (kfmxzkhjre)</w:t>
      </w:r>
    </w:p>
    <w:p>
      <w:pPr>
        <w:numPr>
          <w:ilvl w:val="0"/>
          <w:numId w:val="1011"/>
        </w:numPr>
        <w:pStyle w:val="Compact"/>
      </w:pPr>
      <w:r>
        <w:rPr>
          <w:bCs/>
          <w:b/>
        </w:rPr>
        <w:t xml:space="preserve">Generic Disposal Emission Factor (non-recycled):</w:t>
      </w:r>
      <w:r>
        <w:t xml:space="preserve"> </w:t>
      </w:r>
      <w:r>
        <w:t xml:space="preserve">0.5 kgCO2e/kg (approximate for landfill/incineration)</w:t>
      </w:r>
    </w:p>
    <w:p>
      <w:pPr>
        <w:numPr>
          <w:ilvl w:val="0"/>
          <w:numId w:val="1011"/>
        </w:numPr>
        <w:pStyle w:val="Compact"/>
      </w:pPr>
      <w:r>
        <w:rPr>
          <w:bCs/>
          <w:b/>
        </w:rPr>
        <w:t xml:space="preserve">Avoided Emission Factors (recycling credit, simplified average):</w:t>
      </w:r>
    </w:p>
    <w:p>
      <w:pPr>
        <w:numPr>
          <w:ilvl w:val="1"/>
          <w:numId w:val="1012"/>
        </w:numPr>
        <w:pStyle w:val="Compact"/>
      </w:pPr>
      <w:r>
        <w:t xml:space="preserve">Aluminum: -1.5 kgCO2e/kg</w:t>
      </w:r>
    </w:p>
    <w:p>
      <w:pPr>
        <w:numPr>
          <w:ilvl w:val="1"/>
          <w:numId w:val="1012"/>
        </w:numPr>
        <w:pStyle w:val="Compact"/>
      </w:pPr>
      <w:r>
        <w:t xml:space="preserve">Plastics (ABS): -1.5 kgCO2e/kg</w:t>
      </w:r>
    </w:p>
    <w:p>
      <w:pPr>
        <w:numPr>
          <w:ilvl w:val="1"/>
          <w:numId w:val="1012"/>
        </w:numPr>
        <w:pStyle w:val="Compact"/>
      </w:pPr>
      <w:r>
        <w:t xml:space="preserve">Copper: -2.0 kgCO2e/kg</w:t>
      </w:r>
    </w:p>
    <w:p>
      <w:pPr>
        <w:numPr>
          <w:ilvl w:val="1"/>
          <w:numId w:val="1012"/>
        </w:numPr>
        <w:pStyle w:val="Compact"/>
      </w:pPr>
      <w:r>
        <w:t xml:space="preserve">Cardboard: -0.8 kgCO2e/kg</w:t>
      </w:r>
    </w:p>
    <w:p>
      <w:r>
        <w:pict>
          <v:rect style="width:0;height:1.5pt" o:hralign="center" o:hrstd="t" o:hr="t"/>
        </w:pict>
      </w:r>
    </w:p>
    <w:bookmarkEnd w:id="40"/>
    <w:bookmarkEnd w:id="41"/>
    <w:bookmarkStart w:id="50" w:name="Xdd1c2ba429305467bad58a0828410d9d0fce25c"/>
    <w:p>
      <w:pPr>
        <w:pStyle w:val="Heading2"/>
      </w:pPr>
      <w:r>
        <w:t xml:space="preserve">4. Emissions Calculation (Activity * Emission Factor = CO2e)</w:t>
      </w:r>
    </w:p>
    <w:p>
      <w:pPr>
        <w:pStyle w:val="FirstParagraph"/>
      </w:pPr>
      <w:r>
        <w:t xml:space="preserve">This section details the calculated emissions for each lifecycle stage, categorized according to the GHG Protocol Scopes.</w:t>
      </w:r>
    </w:p>
    <w:bookmarkStart w:id="42" w:name="Xa124a95b981c370289279a4b723120ad8e79cc2"/>
    <w:p>
      <w:pPr>
        <w:pStyle w:val="Heading3"/>
      </w:pPr>
      <w:r>
        <w:t xml:space="preserve">4.1. Materials Acquisition &amp; Pre-processing (Scope 3 - Upstream)</w:t>
      </w:r>
    </w:p>
    <w:p>
      <w:pPr>
        <w:pStyle w:val="FirstParagraph"/>
      </w:pPr>
      <w:r>
        <w:t xml:space="preserve">The total carbon footprint for materials is directly derived from the provided Bill of Materials.</w:t>
      </w:r>
    </w:p>
    <w:p>
      <w:pPr>
        <w:numPr>
          <w:ilvl w:val="0"/>
          <w:numId w:val="1013"/>
        </w:numPr>
        <w:pStyle w:val="Compact"/>
      </w:pPr>
      <w:r>
        <w:rPr>
          <w:bCs/>
          <w:b/>
        </w:rPr>
        <w:t xml:space="preserve">Calculation:</w:t>
      </w:r>
      <w:r>
        <w:t xml:space="preserve"> </w:t>
      </w:r>
      <w:r>
        <w:t xml:space="preserve">Sum of "Total Carbon" from BOM table.</w:t>
      </w:r>
    </w:p>
    <w:p>
      <w:pPr>
        <w:numPr>
          <w:ilvl w:val="0"/>
          <w:numId w:val="1013"/>
        </w:numPr>
        <w:pStyle w:val="Compact"/>
      </w:pPr>
      <w:r>
        <w:rPr>
          <w:bCs/>
          <w:b/>
        </w:rPr>
        <w:t xml:space="preserve">Total Emissions:</w:t>
      </w:r>
      <w:r>
        <w:t xml:space="preserve"> </w:t>
      </w:r>
      <w:r>
        <w:t xml:space="preserve">5.55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3</w:t>
            </w:r>
          </w:p>
        </w:tc>
        <w:tc>
          <w:tcPr/>
          <w:p>
            <w:pPr>
              <w:pStyle w:val="Compact"/>
              <w:jc w:val="left"/>
            </w:pPr>
            <w:r>
              <w:t xml:space="preserve">Purchased Goods &amp; Services</w:t>
            </w:r>
          </w:p>
        </w:tc>
        <w:tc>
          <w:tcPr/>
          <w:p>
            <w:pPr>
              <w:pStyle w:val="Compact"/>
              <w:jc w:val="left"/>
            </w:pPr>
            <w:r>
              <w:t xml:space="preserve">5.55</w:t>
            </w:r>
          </w:p>
        </w:tc>
      </w:tr>
    </w:tbl>
    <w:bookmarkEnd w:id="42"/>
    <w:bookmarkStart w:id="43" w:name="manufacturingproduction-1"/>
    <w:p>
      <w:pPr>
        <w:pStyle w:val="Heading3"/>
      </w:pPr>
      <w:r>
        <w:t xml:space="preserve">4.2. Manufacturing/Production</w:t>
      </w:r>
    </w:p>
    <w:p>
      <w:pPr>
        <w:pStyle w:val="FirstParagraph"/>
      </w:pPr>
      <w:r>
        <w:t xml:space="preserve">Emissions during the manufacturing phase are primarily from purchased electricity, considering renewable energy usage.</w:t>
      </w:r>
    </w:p>
    <w:p>
      <w:pPr>
        <w:numPr>
          <w:ilvl w:val="0"/>
          <w:numId w:val="1014"/>
        </w:numPr>
        <w:pStyle w:val="Compact"/>
      </w:pPr>
      <w:r>
        <w:rPr>
          <w:bCs/>
          <w:b/>
        </w:rPr>
        <w:t xml:space="preserve">Total Energy Consumption:</w:t>
      </w:r>
      <w:r>
        <w:t xml:space="preserve"> </w:t>
      </w:r>
      <w:r>
        <w:t xml:space="preserve">15 kWh/unit</w:t>
      </w:r>
    </w:p>
    <w:p>
      <w:pPr>
        <w:numPr>
          <w:ilvl w:val="0"/>
          <w:numId w:val="1014"/>
        </w:numPr>
        <w:pStyle w:val="Compact"/>
      </w:pPr>
      <w:r>
        <w:rPr>
          <w:bCs/>
          <w:b/>
        </w:rPr>
        <w:t xml:space="preserve">Non-Renewable Energy Consumption:</w:t>
      </w:r>
      <w:r>
        <w:t xml:space="preserve"> </w:t>
      </w:r>
      <w:r>
        <w:t xml:space="preserve">15 kWh/unit * (1 - 50%) = 7.5 kWh/unit</w:t>
      </w:r>
    </w:p>
    <w:p>
      <w:pPr>
        <w:numPr>
          <w:ilvl w:val="0"/>
          <w:numId w:val="1014"/>
        </w:numPr>
        <w:pStyle w:val="Compact"/>
      </w:pPr>
      <w:r>
        <w:rPr>
          <w:bCs/>
          <w:b/>
        </w:rPr>
        <w:t xml:space="preserve">Emissions:</w:t>
      </w:r>
      <w:r>
        <w:t xml:space="preserve"> </w:t>
      </w:r>
      <w:r>
        <w:t xml:space="preserve">7.5 kWh/unit * 0.6205 kgCO2e/kWh = 4.65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4.65</w:t>
            </w:r>
          </w:p>
        </w:tc>
      </w:tr>
    </w:tbl>
    <w:bookmarkEnd w:id="43"/>
    <w:bookmarkStart w:id="46" w:name="transportation-scope-3"/>
    <w:p>
      <w:pPr>
        <w:pStyle w:val="Heading3"/>
      </w:pPr>
      <w:r>
        <w:t xml:space="preserve">4.3. Transportation (Scope 3)</w:t>
      </w:r>
    </w:p>
    <w:p>
      <w:pPr>
        <w:pStyle w:val="FirstParagraph"/>
      </w:pPr>
      <w:r>
        <w:t xml:space="preserve">Emissions from both upstream material transport and downstream product delivery.</w:t>
      </w:r>
    </w:p>
    <w:bookmarkStart w:id="44" w:name="upstream-transport-raw-materials"/>
    <w:p>
      <w:pPr>
        <w:pStyle w:val="Heading4"/>
      </w:pPr>
      <w:r>
        <w:t xml:space="preserve">4.3.1. Upstream Transport (Raw Materials)</w:t>
      </w:r>
    </w:p>
    <w:p>
      <w:pPr>
        <w:numPr>
          <w:ilvl w:val="0"/>
          <w:numId w:val="1015"/>
        </w:numPr>
        <w:pStyle w:val="Compact"/>
      </w:pPr>
      <w:r>
        <w:rPr>
          <w:bCs/>
          <w:b/>
        </w:rPr>
        <w:t xml:space="preserve">Total Material Mass:</w:t>
      </w:r>
      <w:r>
        <w:t xml:space="preserve"> </w:t>
      </w:r>
      <w:r>
        <w:t xml:space="preserve">0.92 kg (Aluminum, Plastic, Copper, Cardboard)</w:t>
      </w:r>
    </w:p>
    <w:p>
      <w:pPr>
        <w:numPr>
          <w:ilvl w:val="0"/>
          <w:numId w:val="1015"/>
        </w:numPr>
        <w:pStyle w:val="Compact"/>
      </w:pPr>
      <w:r>
        <w:rPr>
          <w:bCs/>
          <w:b/>
        </w:rPr>
        <w:t xml:space="preserve">Emissions:</w:t>
      </w:r>
      <w:r>
        <w:t xml:space="preserve"> </w:t>
      </w:r>
      <w:r>
        <w:t xml:space="preserve">0.92 kg * 1500 km * 0.00008 kgCO2e/kg-km = 0.11 kgCO2e</w:t>
      </w:r>
    </w:p>
    <w:bookmarkEnd w:id="44"/>
    <w:bookmarkStart w:id="45" w:name="downstream-transport-last-mile-delivery"/>
    <w:p>
      <w:pPr>
        <w:pStyle w:val="Heading4"/>
      </w:pPr>
      <w:r>
        <w:t xml:space="preserve">4.3.2. Downstream Transport (Last-Mile Delivery)</w:t>
      </w:r>
    </w:p>
    <w:p>
      <w:pPr>
        <w:numPr>
          <w:ilvl w:val="0"/>
          <w:numId w:val="1016"/>
        </w:numPr>
        <w:pStyle w:val="Compact"/>
      </w:pPr>
      <w:r>
        <w:rPr>
          <w:bCs/>
          <w:b/>
        </w:rPr>
        <w:t xml:space="preserve">Product Weight:</w:t>
      </w:r>
      <w:r>
        <w:t xml:space="preserve"> </w:t>
      </w:r>
      <w:r>
        <w:t xml:space="preserve">1.0 kg (estimated)</w:t>
      </w:r>
    </w:p>
    <w:p>
      <w:pPr>
        <w:numPr>
          <w:ilvl w:val="0"/>
          <w:numId w:val="1016"/>
        </w:numPr>
        <w:pStyle w:val="Compact"/>
      </w:pPr>
      <w:r>
        <w:rPr>
          <w:bCs/>
          <w:b/>
        </w:rPr>
        <w:t xml:space="preserve">Emissions:</w:t>
      </w:r>
      <w:r>
        <w:t xml:space="preserve"> </w:t>
      </w:r>
      <w:r>
        <w:t xml:space="preserve">1.0 kg * 50 km * 0.0002 kgCO2e/kg-km = 0.01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3</w:t>
            </w:r>
          </w:p>
        </w:tc>
        <w:tc>
          <w:tcPr/>
          <w:p>
            <w:pPr>
              <w:pStyle w:val="Compact"/>
              <w:jc w:val="left"/>
            </w:pPr>
            <w:r>
              <w:t xml:space="preserve">Upstream Transportation</w:t>
            </w:r>
          </w:p>
        </w:tc>
        <w:tc>
          <w:tcPr/>
          <w:p>
            <w:pPr>
              <w:pStyle w:val="Compact"/>
              <w:jc w:val="left"/>
            </w:pPr>
            <w:r>
              <w:t xml:space="preserve">0.11</w:t>
            </w:r>
          </w:p>
        </w:tc>
      </w:tr>
      <w:tr>
        <w:tc>
          <w:tcPr/>
          <w:p>
            <w:pPr>
              <w:pStyle w:val="Compact"/>
              <w:jc w:val="left"/>
            </w:pPr>
            <w:r>
              <w:t xml:space="preserve">Scope 3</w:t>
            </w:r>
          </w:p>
        </w:tc>
        <w:tc>
          <w:tcPr/>
          <w:p>
            <w:pPr>
              <w:pStyle w:val="Compact"/>
              <w:jc w:val="left"/>
            </w:pPr>
            <w:r>
              <w:t xml:space="preserve">Downstream Transportation</w:t>
            </w:r>
          </w:p>
        </w:tc>
        <w:tc>
          <w:tcPr/>
          <w:p>
            <w:pPr>
              <w:pStyle w:val="Compact"/>
              <w:jc w:val="left"/>
            </w:pPr>
            <w:r>
              <w:t xml:space="preserve">0.01</w:t>
            </w:r>
          </w:p>
        </w:tc>
      </w:tr>
      <w:tr>
        <w:tc>
          <w:tcPr/>
          <w:p>
            <w:pPr>
              <w:pStyle w:val="Compact"/>
            </w:pPr>
          </w:p>
        </w:tc>
        <w:tc>
          <w:tcPr/>
          <w:p>
            <w:pPr>
              <w:pStyle w:val="Compact"/>
              <w:jc w:val="left"/>
            </w:pPr>
            <w:r>
              <w:rPr>
                <w:bCs/>
                <w:b/>
              </w:rPr>
              <w:t xml:space="preserve">Total Transportation Emissions</w:t>
            </w:r>
          </w:p>
        </w:tc>
        <w:tc>
          <w:tcPr/>
          <w:p>
            <w:pPr>
              <w:pStyle w:val="Compact"/>
              <w:jc w:val="left"/>
            </w:pPr>
            <w:r>
              <w:rPr>
                <w:bCs/>
                <w:b/>
              </w:rPr>
              <w:t xml:space="preserve">0.12</w:t>
            </w:r>
          </w:p>
        </w:tc>
      </w:tr>
    </w:tbl>
    <w:bookmarkEnd w:id="45"/>
    <w:bookmarkEnd w:id="46"/>
    <w:bookmarkStart w:id="47" w:name="use-phase-scope-3---downstream"/>
    <w:p>
      <w:pPr>
        <w:pStyle w:val="Heading3"/>
      </w:pPr>
      <w:r>
        <w:t xml:space="preserve">4.4. Use Phase (Scope 3 - Downstream)</w:t>
      </w:r>
    </w:p>
    <w:p>
      <w:pPr>
        <w:pStyle w:val="FirstParagraph"/>
      </w:pPr>
      <w:r>
        <w:t xml:space="preserve">Emissions from the product\'s energy consumption during its lifespan.</w:t>
      </w:r>
    </w:p>
    <w:p>
      <w:pPr>
        <w:numPr>
          <w:ilvl w:val="0"/>
          <w:numId w:val="1017"/>
        </w:numPr>
        <w:pStyle w:val="Compact"/>
      </w:pPr>
      <w:r>
        <w:rPr>
          <w:bCs/>
          <w:b/>
        </w:rPr>
        <w:t xml:space="preserve">Total Energy in Use:</w:t>
      </w:r>
      <w:r>
        <w:t xml:space="preserve"> </w:t>
      </w:r>
      <w:r>
        <w:t xml:space="preserve">10 kWh/year * 5 years = 50 kWh</w:t>
      </w:r>
    </w:p>
    <w:p>
      <w:pPr>
        <w:numPr>
          <w:ilvl w:val="0"/>
          <w:numId w:val="1017"/>
        </w:numPr>
        <w:pStyle w:val="Compact"/>
      </w:pPr>
      <w:r>
        <w:rPr>
          <w:bCs/>
          <w:b/>
        </w:rPr>
        <w:t xml:space="preserve">Emissions:</w:t>
      </w:r>
      <w:r>
        <w:t xml:space="preserve"> </w:t>
      </w:r>
      <w:r>
        <w:t xml:space="preserve">50 kWh * 0.6205 kgCO2e/kWh = 31.03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3</w:t>
            </w:r>
          </w:p>
        </w:tc>
        <w:tc>
          <w:tcPr/>
          <w:p>
            <w:pPr>
              <w:pStyle w:val="Compact"/>
              <w:jc w:val="left"/>
            </w:pPr>
            <w:r>
              <w:t xml:space="preserve">Use of Sold Products</w:t>
            </w:r>
          </w:p>
        </w:tc>
        <w:tc>
          <w:tcPr/>
          <w:p>
            <w:pPr>
              <w:pStyle w:val="Compact"/>
              <w:jc w:val="left"/>
            </w:pPr>
            <w:r>
              <w:t xml:space="preserve">31.03</w:t>
            </w:r>
          </w:p>
        </w:tc>
      </w:tr>
    </w:tbl>
    <w:bookmarkEnd w:id="47"/>
    <w:bookmarkStart w:id="48" w:name="end-of-life-scope-3---downstream"/>
    <w:p>
      <w:pPr>
        <w:pStyle w:val="Heading3"/>
      </w:pPr>
      <w:r>
        <w:t xml:space="preserve">4.5. End-of-Life (Scope 3 - Downstream)</w:t>
      </w:r>
    </w:p>
    <w:p>
      <w:pPr>
        <w:pStyle w:val="FirstParagraph"/>
      </w:pPr>
      <w:r>
        <w:t xml:space="preserve">Emissions from disposal and avoided emissions from recycling activities.</w:t>
      </w:r>
    </w:p>
    <w:p>
      <w:pPr>
        <w:numPr>
          <w:ilvl w:val="0"/>
          <w:numId w:val="1018"/>
        </w:numPr>
        <w:pStyle w:val="Compact"/>
      </w:pPr>
      <w:r>
        <w:rPr>
          <w:bCs/>
          <w:b/>
        </w:rPr>
        <w:t xml:space="preserve">Total Product Mass at EoL:</w:t>
      </w:r>
      <w:r>
        <w:t xml:space="preserve"> </w:t>
      </w:r>
      <w:r>
        <w:t xml:space="preserve">0.92 kg</w:t>
      </w:r>
    </w:p>
    <w:p>
      <w:pPr>
        <w:numPr>
          <w:ilvl w:val="0"/>
          <w:numId w:val="1018"/>
        </w:numPr>
        <w:pStyle w:val="Compact"/>
      </w:pPr>
      <w:r>
        <w:rPr>
          <w:bCs/>
          <w:b/>
        </w:rPr>
        <w:t xml:space="preserve">Non-recycled Portion:</w:t>
      </w:r>
      <w:r>
        <w:t xml:space="preserve"> </w:t>
      </w:r>
      <w:r>
        <w:t xml:space="preserve">0.92 kg * (1 - 70%) = 0.276 kg</w:t>
      </w:r>
    </w:p>
    <w:p>
      <w:pPr>
        <w:numPr>
          <w:ilvl w:val="0"/>
          <w:numId w:val="1018"/>
        </w:numPr>
        <w:pStyle w:val="Compact"/>
      </w:pPr>
      <w:r>
        <w:rPr>
          <w:bCs/>
          <w:b/>
        </w:rPr>
        <w:t xml:space="preserve">Emissions from Non-recycled:</w:t>
      </w:r>
      <w:r>
        <w:t xml:space="preserve"> </w:t>
      </w:r>
      <w:r>
        <w:t xml:space="preserve">0.276 kg * 0.5 kgCO2e/kg = 0.14 kgCO2e</w:t>
      </w:r>
    </w:p>
    <w:p>
      <w:pPr>
        <w:numPr>
          <w:ilvl w:val="0"/>
          <w:numId w:val="1018"/>
        </w:numPr>
        <w:pStyle w:val="Compact"/>
      </w:pPr>
      <w:r>
        <w:rPr>
          <w:bCs/>
          <w:b/>
        </w:rPr>
        <w:t xml:space="preserve">Recycled Portion:</w:t>
      </w:r>
      <w:r>
        <w:t xml:space="preserve"> </w:t>
      </w:r>
      <w:r>
        <w:t xml:space="preserve">0.92 kg * 70% = 0.644 kg</w:t>
      </w:r>
    </w:p>
    <w:p>
      <w:pPr>
        <w:numPr>
          <w:ilvl w:val="0"/>
          <w:numId w:val="1018"/>
        </w:numPr>
        <w:pStyle w:val="Compact"/>
      </w:pPr>
      <w:r>
        <w:rPr>
          <w:bCs/>
          <w:b/>
        </w:rPr>
        <w:t xml:space="preserve">Avoided Emissions from Recycling (aggregated):</w:t>
      </w:r>
    </w:p>
    <w:p>
      <w:pPr>
        <w:numPr>
          <w:ilvl w:val="1"/>
          <w:numId w:val="1019"/>
        </w:numPr>
        <w:pStyle w:val="Compact"/>
      </w:pPr>
      <w:r>
        <w:t xml:space="preserve">Aluminum: (0.5 kg * 0.7) * -1.5 kgCO2e/kg = -0.53 kgCO2e</w:t>
      </w:r>
    </w:p>
    <w:p>
      <w:pPr>
        <w:numPr>
          <w:ilvl w:val="1"/>
          <w:numId w:val="1019"/>
        </w:numPr>
        <w:pStyle w:val="Compact"/>
      </w:pPr>
      <w:r>
        <w:t xml:space="preserve">ABS Plastic: (0.3 kg * 0.7) * -1.5 kgCO2e/kg = -0.32 kgCO2e</w:t>
      </w:r>
    </w:p>
    <w:p>
      <w:pPr>
        <w:numPr>
          <w:ilvl w:val="1"/>
          <w:numId w:val="1019"/>
        </w:numPr>
        <w:pStyle w:val="Compact"/>
      </w:pPr>
      <w:r>
        <w:t xml:space="preserve">Copper: (0.02 kg * 0.7) * -2.0 kgCO2e/kg = -0.03 kgCO2e</w:t>
      </w:r>
    </w:p>
    <w:p>
      <w:pPr>
        <w:numPr>
          <w:ilvl w:val="1"/>
          <w:numId w:val="1019"/>
        </w:numPr>
        <w:pStyle w:val="Compact"/>
      </w:pPr>
      <w:r>
        <w:t xml:space="preserve">Cardboard: (0.1 kg * 0.7) * -0.8 kgCO2e/kg = -0.06 kgCO2e</w:t>
      </w:r>
    </w:p>
    <w:p>
      <w:pPr>
        <w:numPr>
          <w:ilvl w:val="1"/>
          <w:numId w:val="1019"/>
        </w:numPr>
        <w:pStyle w:val="Compact"/>
      </w:pPr>
      <w:r>
        <w:rPr>
          <w:bCs/>
          <w:b/>
        </w:rPr>
        <w:t xml:space="preserve">Total Avoided Emissions:</w:t>
      </w:r>
      <w:r>
        <w:t xml:space="preserve"> </w:t>
      </w:r>
      <w:r>
        <w:t xml:space="preserve">-0.53 - 0.32 - 0.03 - 0.06 = -0.94 kgCO2e</w:t>
      </w:r>
    </w:p>
    <w:p>
      <w:pPr>
        <w:numPr>
          <w:ilvl w:val="0"/>
          <w:numId w:val="1018"/>
        </w:numPr>
        <w:pStyle w:val="Compact"/>
      </w:pPr>
      <w:r>
        <w:rPr>
          <w:bCs/>
          <w:b/>
        </w:rPr>
        <w:t xml:space="preserve">Net EoL Emissions:</w:t>
      </w:r>
      <w:r>
        <w:t xml:space="preserve"> </w:t>
      </w:r>
      <w:r>
        <w:t xml:space="preserve">0.14 kgCO2e + (-0.94 kgCO2e) = -0.80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3</w:t>
            </w:r>
          </w:p>
        </w:tc>
        <w:tc>
          <w:tcPr/>
          <w:p>
            <w:pPr>
              <w:pStyle w:val="Compact"/>
              <w:jc w:val="left"/>
            </w:pPr>
            <w:r>
              <w:t xml:space="preserve">End-of-Life Treatment of Sold Products</w:t>
            </w:r>
          </w:p>
        </w:tc>
        <w:tc>
          <w:tcPr/>
          <w:p>
            <w:pPr>
              <w:pStyle w:val="Compact"/>
              <w:jc w:val="left"/>
            </w:pPr>
            <w:r>
              <w:t xml:space="preserve">-0.80</w:t>
            </w:r>
          </w:p>
        </w:tc>
      </w:tr>
    </w:tbl>
    <w:bookmarkEnd w:id="48"/>
    <w:bookmarkStart w:id="49" w:name="summary-of-product-carbon-footprint"/>
    <w:p>
      <w:pPr>
        <w:pStyle w:val="Heading3"/>
      </w:pPr>
      <w:r>
        <w:t xml:space="preserve">4.6. Summary of Product Carbon Footprint</w:t>
      </w:r>
    </w:p>
    <w:p>
      <w:pPr>
        <w:pStyle w:val="FirstParagraph"/>
      </w:pPr>
      <w:r>
        <w:t xml:space="preserve">The total Product Carbon Footprint for one functional unit of the EcoSmart Widget X (dyhpvvvdrs)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5.55</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4.65</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0.12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31.03</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-0.80</w:t>
            </w:r>
          </w:p>
        </w:tc>
      </w:tr>
      <w:tr>
        <w:tc>
          <w:tcPr>
            <w:gridSpan w:val="2"/>
          </w:tcPr>
          <w:p>
            <w:pPr>
              <w:pStyle w:val="Compact"/>
              <w:jc w:val="left"/>
            </w:pPr>
            <w:r>
              <w:rPr>
                <w:bCs/>
                <w:b/>
              </w:rPr>
              <w:t xml:space="preserve">Total Product Carbon Footprint (kgCO2e/unit)</w:t>
            </w:r>
          </w:p>
        </w:tc>
        <w:tc>
          <w:tcPr/>
          <w:p>
            <w:pPr>
              <w:pStyle w:val="Compact"/>
              <w:jc w:val="left"/>
            </w:pPr>
            <w:r>
              <w:rPr>
                <w:bCs/>
                <w:b/>
              </w:rPr>
              <w:t xml:space="preserve">40.56</w:t>
            </w:r>
          </w:p>
        </w:tc>
      </w:tr>
    </w:tbl>
    <w:p>
      <w:r>
        <w:pict>
          <v:rect style="width:0;height:1.5pt" o:hralign="center" o:hrstd="t" o:hr="t"/>
        </w:pict>
      </w:r>
    </w:p>
    <w:bookmarkEnd w:id="49"/>
    <w:bookmarkEnd w:id="50"/>
    <w:bookmarkStart w:id="53" w:name="review-report"/>
    <w:p>
      <w:pPr>
        <w:pStyle w:val="Heading2"/>
      </w:pPr>
      <w:r>
        <w:t xml:space="preserve">5. Review &amp; Report</w:t>
      </w:r>
    </w:p>
    <w:bookmarkStart w:id="51" w:name="hotspot-identification"/>
    <w:p>
      <w:pPr>
        <w:pStyle w:val="Heading3"/>
      </w:pPr>
      <w:r>
        <w:t xml:space="preserve">5.1. Hotspot Identification</w:t>
      </w:r>
    </w:p>
    <w:p>
      <w:pPr>
        <w:pStyle w:val="FirstParagraph"/>
      </w:pPr>
      <w:r>
        <w:t xml:space="preserve">The analysis reveals the following major carbon hotspots for the EcoSmart Widget X:</w:t>
      </w:r>
    </w:p>
    <w:p>
      <w:pPr>
        <w:numPr>
          <w:ilvl w:val="0"/>
          <w:numId w:val="1020"/>
        </w:numPr>
        <w:pStyle w:val="Compact"/>
      </w:pPr>
      <w:r>
        <w:rPr>
          <w:bCs/>
          <w:b/>
        </w:rPr>
        <w:t xml:space="preserve">Use Phase (31.03 kgCO2e):</w:t>
      </w:r>
      <w:r>
        <w:t xml:space="preserve"> </w:t>
      </w:r>
      <w:r>
        <w:t xml:space="preserve">This is the dominant contributor to the overall PCF, primarily due to the product\'s energy consumption over its 5-year lifespan and the electricity grid mix in China.</w:t>
      </w:r>
    </w:p>
    <w:p>
      <w:pPr>
        <w:numPr>
          <w:ilvl w:val="0"/>
          <w:numId w:val="1020"/>
        </w:numPr>
        <w:pStyle w:val="Compact"/>
      </w:pPr>
      <w:r>
        <w:rPr>
          <w:bCs/>
          <w:b/>
        </w:rPr>
        <w:t xml:space="preserve">Materials Acquisition &amp; Pre-processing (5.55 kgCO2e):</w:t>
      </w:r>
      <w:r>
        <w:t xml:space="preserve"> </w:t>
      </w:r>
      <w:r>
        <w:t xml:space="preserve">The production of virgin aluminum and the battery contribute significantly to this stage\'s emissions.</w:t>
      </w:r>
    </w:p>
    <w:p>
      <w:pPr>
        <w:numPr>
          <w:ilvl w:val="0"/>
          <w:numId w:val="1020"/>
        </w:numPr>
        <w:pStyle w:val="Compact"/>
      </w:pPr>
      <w:r>
        <w:rPr>
          <w:bCs/>
          <w:b/>
        </w:rPr>
        <w:t xml:space="preserve">Manufacturing/Production (4.65 kgCO2e):</w:t>
      </w:r>
      <w:r>
        <w:t xml:space="preserve"> </w:t>
      </w:r>
      <w:r>
        <w:t xml:space="preserve">While 50% renewable energy is used, the remaining grid electricity consumption is still a notable factor.</w:t>
      </w:r>
    </w:p>
    <w:p>
      <w:pPr>
        <w:pStyle w:val="FirstParagraph"/>
      </w:pPr>
      <w:r>
        <w:t xml:space="preserve">The End-of-Life phase shows a net carbon benefit (-0.80 kgCO2e) due to the high recyclability percentage and the avoided emissions from displacing virgin material production through robust circular/take-back programs.</w:t>
      </w:r>
    </w:p>
    <w:bookmarkEnd w:id="51"/>
    <w:bookmarkStart w:id="52" w:name="reliability-and-recommendations"/>
    <w:p>
      <w:pPr>
        <w:pStyle w:val="Heading3"/>
      </w:pPr>
      <w:r>
        <w:t xml:space="preserve">5.2. Reliability and Recommendations</w:t>
      </w:r>
    </w:p>
    <w:p>
      <w:pPr>
        <w:pStyle w:val="FirstParagraph"/>
      </w:pPr>
      <w:r>
        <w:t xml:space="preserve">The calculations are based on the provided detailed Bill of Materials, specific operational parameters (energy usage, lifespan), and industry-standard emission factors from reputable databases (e.g., Ecoinvent, MEE China). The use of the GHG Protocol ensures methodological consistency and transparency.</w:t>
      </w:r>
    </w:p>
    <w:p>
      <w:pPr>
        <w:pStyle w:val="BodyText"/>
      </w:pPr>
      <w:r>
        <w:t xml:space="preserve">To further reduce the PCF of the EcoSmart Widget X, Global Innovations Inc. is recommended to:</w:t>
      </w:r>
    </w:p>
    <w:p>
      <w:pPr>
        <w:numPr>
          <w:ilvl w:val="0"/>
          <w:numId w:val="1021"/>
        </w:numPr>
        <w:pStyle w:val="Compact"/>
      </w:pPr>
      <w:r>
        <w:rPr>
          <w:bCs/>
          <w:b/>
        </w:rPr>
        <w:t xml:space="preserve">Enhance Use Phase Efficiency:</w:t>
      </w:r>
      <w:r>
        <w:t xml:space="preserve"> </w:t>
      </w:r>
      <w:r>
        <w:t xml:space="preserve">Invest in R&amp;D for more energy-efficient components or provide incentives/guidance for users to power the product with renewable energy sources.</w:t>
      </w:r>
    </w:p>
    <w:p>
      <w:pPr>
        <w:numPr>
          <w:ilvl w:val="0"/>
          <w:numId w:val="1021"/>
        </w:numPr>
        <w:pStyle w:val="Compact"/>
      </w:pPr>
      <w:r>
        <w:rPr>
          <w:bCs/>
          <w:b/>
        </w:rPr>
        <w:t xml:space="preserve">Optimize Material Sourcing:</w:t>
      </w:r>
      <w:r>
        <w:t xml:space="preserve"> </w:t>
      </w:r>
      <w:r>
        <w:t xml:space="preserve">Explore increasing the proportion of recycled content, especially for high-impact materials like aluminum, and work with suppliers to reduce their upstream emissions.</w:t>
      </w:r>
    </w:p>
    <w:p>
      <w:pPr>
        <w:numPr>
          <w:ilvl w:val="0"/>
          <w:numId w:val="1021"/>
        </w:numPr>
        <w:pStyle w:val="Compact"/>
      </w:pPr>
      <w:r>
        <w:rPr>
          <w:bCs/>
          <w:b/>
        </w:rPr>
        <w:t xml:space="preserve">Increase Renewable Energy in Manufacturing:</w:t>
      </w:r>
      <w:r>
        <w:t xml:space="preserve"> </w:t>
      </w:r>
      <w:r>
        <w:t xml:space="preserve">Target 100% renewable energy usage at the manufacturing facility to eliminate Scope 2 emissions.</w:t>
      </w:r>
    </w:p>
    <w:p>
      <w:pPr>
        <w:numPr>
          <w:ilvl w:val="0"/>
          <w:numId w:val="1021"/>
        </w:numPr>
        <w:pStyle w:val="Compact"/>
      </w:pPr>
      <w:r>
        <w:rPr>
          <w:bCs/>
          <w:b/>
        </w:rPr>
        <w:t xml:space="preserve">Expand Circularity:</w:t>
      </w:r>
      <w:r>
        <w:t xml:space="preserve"> </w:t>
      </w:r>
      <w:r>
        <w:t xml:space="preserve">Leverage the established circular/take-back programs to maximize material recovery and explore reuse or refurbishment models beyond simple recycling to further enhance End-of-Life benefits.</w:t>
      </w:r>
    </w:p>
    <w:bookmarkEnd w:id="52"/>
    <w:bookmarkEnd w:id="53"/>
    <w:p>
      <w:pPr>
        <w:pStyle w:val="FirstParagraph"/>
      </w:pPr>
      <w:r>
        <w:t xml:space="preserve">Confidential - Internal Use Only | Page</w:t>
      </w:r>
      <w:r>
        <w:t xml:space="preserve"> </w:t>
      </w:r>
      <w:bookmarkStart w:id="54" w:name="page-num"/>
      <w:bookmarkEnd w:id="54"/>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Widget X</dc:title>
  <dc:creator/>
  <dc:description>High-detail Product Carbon Footprint (PCF) analysis for EcoSmart Widget X, performed by Senior Sustainability Consultant Dr. Eleanor J. Khyzyqw for Global Innovations Inc. following GHG Protocol standards.</dc:description>
  <dc:language>en</dc:language>
  <cp:keywords/>
  <dcterms:created xsi:type="dcterms:W3CDTF">2026-05-30T15:54:52Z</dcterms:created>
  <dcterms:modified xsi:type="dcterms:W3CDTF">2026-05-30T15:54:52Z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