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EcoSmart</w:t>
      </w:r>
      <w:r>
        <w:t xml:space="preserve"> </w:t>
      </w:r>
      <w:r>
        <w:t xml:space="preserve">Widget</w:t>
      </w:r>
      <w:r>
        <w:t xml:space="preserve"> </w:t>
      </w:r>
      <w:r>
        <w:t xml:space="preserve">X</w:t>
      </w:r>
      <w:r>
        <w:t xml:space="preserve"> </w:t>
      </w:r>
      <w:r>
        <w:t xml:space="preserve">(gduzqktvmn)</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ecosmart-widget-x-gduzqktvmn"/>
    <w:p>
      <w:pPr>
        <w:pStyle w:val="Heading2"/>
      </w:pPr>
      <w:r>
        <w:t xml:space="preserve">For EcoSmart Widget X (gduzqktvmn)</w:t>
      </w:r>
    </w:p>
    <w:p>
      <w:pPr>
        <w:pStyle w:val="FirstParagraph"/>
      </w:pPr>
      <w:r>
        <w:rPr>
          <w:bCs/>
          <w:b/>
        </w:rPr>
        <w:t xml:space="preserve">Company Name:</w:t>
      </w:r>
      <w:r>
        <w:t xml:space="preserve"> </w:t>
      </w:r>
      <w:r>
        <w:t xml:space="preserve">Innovate Global Corp (vvtzinpjtw)</w:t>
      </w:r>
    </w:p>
    <w:p>
      <w:pPr>
        <w:pStyle w:val="BodyText"/>
      </w:pPr>
      <w:r>
        <w:rPr>
          <w:bCs/>
          <w:b/>
        </w:rPr>
        <w:t xml:space="preserve">Senior Sustainability Consultant:</w:t>
      </w:r>
      <w:r>
        <w:t xml:space="preserve"> </w:t>
      </w:r>
      <w:r>
        <w:t xml:space="preserve">utshmdkdie</w:t>
      </w:r>
    </w:p>
    <w:p>
      <w:pPr>
        <w:pStyle w:val="BodyText"/>
      </w:pPr>
      <w:r>
        <w:rPr>
          <w:bCs/>
          <w:b/>
        </w:rPr>
        <w:t xml:space="preserve">Accounting Standard:</w:t>
      </w:r>
      <w:r>
        <w:t xml:space="preserve"> </w:t>
      </w:r>
      <w:r>
        <w:t xml:space="preserve">GHG Protocol</w:t>
      </w:r>
    </w:p>
    <w:p>
      <w:pPr>
        <w:pStyle w:val="BodyText"/>
      </w:pPr>
      <w:r>
        <w:t xml:space="preserve">Generated Date: Friday, May 23, 2026</w:t>
      </w:r>
    </w:p>
    <w:bookmarkEnd w:id="20"/>
    <w:bookmarkEnd w:id="21"/>
    <w:p>
      <w:pPr>
        <w:pStyle w:val="BodyText"/>
      </w:pPr>
      <w:r>
        <w:rPr>
          <w:bCs/>
          <w:b/>
        </w:rPr>
        <w:t xml:space="preserve">Disclaimer:</w:t>
      </w:r>
      <w:r>
        <w:t xml:space="preserve"> </w:t>
      </w:r>
      <w:r>
        <w:t xml:space="preserve">This report is generated based on available data and industry standards, incorporating specific parameters provided. Emission factors used are illustrative examples derived from industry-recognized databases (e.g., Ecoinvent, DEFRA) and should be replaced with primary data and company-specific factors for a precise, auditable assessment. All calculations are indicative and designed to demonstrate the methodology.</w:t>
      </w:r>
    </w:p>
    <w:bookmarkStart w:id="22" w:name="X9e6252f4d20bdb6a3318338e23de5021c6361de"/>
    <w:p>
      <w:pPr>
        <w:pStyle w:val="Heading1"/>
      </w:pPr>
      <w:r>
        <w:t xml:space="preserve">Product Carbon Footprint Analysis: EcoSmart Widget X (gduzqktvmn)</w:t>
      </w:r>
    </w:p>
    <w:p>
      <w:pPr>
        <w:pStyle w:val="FirstParagraph"/>
      </w:pPr>
      <w:r>
        <w:rPr>
          <w:bCs/>
          <w:b/>
        </w:rPr>
        <w:t xml:space="preserve">Generated Date:</w:t>
      </w:r>
      <w:r>
        <w:t xml:space="preserve"> </w:t>
      </w:r>
      <w:r>
        <w:t xml:space="preserve">May 23, 2026</w:t>
      </w:r>
    </w:p>
    <w:p>
      <w:pPr>
        <w:pStyle w:val="BodyText"/>
      </w:pPr>
      <w:r>
        <w:rPr>
          <w:bCs/>
          <w:b/>
        </w:rPr>
        <w:t xml:space="preserve">Company:</w:t>
      </w:r>
      <w:r>
        <w:t xml:space="preserve"> </w:t>
      </w:r>
      <w:r>
        <w:t xml:space="preserve">Innovate Global Corp (vvtzinpjtw)</w:t>
      </w:r>
    </w:p>
    <w:p>
      <w:pPr>
        <w:pStyle w:val="BodyText"/>
      </w:pPr>
      <w:r>
        <w:rPr>
          <w:bCs/>
          <w:b/>
        </w:rPr>
        <w:t xml:space="preserve">Consultant:</w:t>
      </w:r>
      <w:r>
        <w:t xml:space="preserve"> </w:t>
      </w:r>
      <w:r>
        <w:t xml:space="preserve">utshmdkdie, Senior Sustainability Consultant (GHG Protocol Specialist)</w:t>
      </w:r>
    </w:p>
    <w:p>
      <w:r>
        <w:pict>
          <v:rect style="width:0;height:1.5pt" o:hralign="center" o:hrstd="t" o:hr="t"/>
        </w:pict>
      </w:r>
    </w:p>
    <w:bookmarkEnd w:id="22"/>
    <w:bookmarkStart w:id="23" w:name="executive-summary"/>
    <w:p>
      <w:pPr>
        <w:pStyle w:val="Heading2"/>
      </w:pPr>
      <w:r>
        <w:t xml:space="preserve">Executive Summary</w:t>
      </w:r>
    </w:p>
    <w:bookmarkEnd w:id="23"/>
    <w:p>
      <w:pPr>
        <w:pStyle w:val="FirstParagraph"/>
      </w:pPr>
      <w:r>
        <w:t xml:space="preserve">This report presents a high-detail Product Carbon Footprint (PCF) analysis for the EcoSmart Widget X (gduzqktvmn) manufactured by Innovate Global Corp (vvtzinpjtw). The analysis adheres to the Greenhouse Gas (GHG) Protocol, including considerations for the latest 2026 Land Sector and Removals (LSR) Standard updates and the proposed 95% Scope 3 coverage requirement. The total estimated cradle-to-grave carbon footprint for one unit of EcoSmart Widget X is</w:t>
      </w:r>
      <w:r>
        <w:t xml:space="preserve"> </w:t>
      </w:r>
      <w:r>
        <w:rPr>
          <w:bCs/>
          <w:b/>
        </w:rPr>
        <w:t xml:space="preserve">19.50 kgCO2e</w:t>
      </w:r>
      <w:r>
        <w:t xml:space="preserve">. The use phase and material acquisition represent the most significant emission hotspots, highlighting key areas for strategic decarbonization efforts.</w:t>
      </w:r>
    </w:p>
    <w:p>
      <w:r>
        <w:pict>
          <v:rect style="width:0;height:1.5pt" o:hralign="center" o:hrstd="t" o:hr="t"/>
        </w:pict>
      </w:r>
    </w:p>
    <w:bookmarkStart w:id="24" w:name="scope-definition"/>
    <w:p>
      <w:pPr>
        <w:pStyle w:val="Heading2"/>
      </w:pPr>
      <w:r>
        <w:t xml:space="preserve">1. Scope Definition</w:t>
      </w:r>
    </w:p>
    <w:bookmarkEnd w:id="24"/>
    <w:p>
      <w:pPr>
        <w:pStyle w:val="FirstParagraph"/>
      </w:pPr>
      <w:r>
        <w:t xml:space="preserve">The scope of this Product Carbon Footprint (PCF) analysis is defined in accordance with the GHG Protocol Product Standard, employing a comprehensive lifecycle approach.</w:t>
      </w:r>
    </w:p>
    <w:bookmarkStart w:id="25" w:name="functional-unit"/>
    <w:p>
      <w:pPr>
        <w:pStyle w:val="Heading3"/>
      </w:pPr>
      <w:r>
        <w:t xml:space="preserve">1.1 Functional Unit</w:t>
      </w:r>
    </w:p>
    <w:p>
      <w:pPr>
        <w:pStyle w:val="FirstParagraph"/>
      </w:pPr>
      <w:r>
        <w:t xml:space="preserve">The functional unit for this study is defined as:</w:t>
      </w:r>
      <w:r>
        <w:t xml:space="preserve"> </w:t>
      </w:r>
      <w:r>
        <w:rPr>
          <w:bCs/>
          <w:b/>
        </w:rPr>
        <w:t xml:space="preserve">1.0 unit of EcoSmart Widget X (gduzqktvmn)</w:t>
      </w:r>
      <w:r>
        <w:t xml:space="preserve">.</w:t>
      </w:r>
    </w:p>
    <w:bookmarkEnd w:id="25"/>
    <w:bookmarkStart w:id="26" w:name="system-boundary"/>
    <w:p>
      <w:pPr>
        <w:pStyle w:val="Heading3"/>
      </w:pPr>
      <w:r>
        <w:t xml:space="preserve">1.2 System Boundary</w:t>
      </w:r>
    </w:p>
    <w:p>
      <w:pPr>
        <w:pStyle w:val="FirstParagraph"/>
      </w:pPr>
      <w:r>
        <w:t xml:space="preserve">The primary system boundary for direct manufacturing processes is defined as</w:t>
      </w:r>
      <w:r>
        <w:t xml:space="preserve"> </w:t>
      </w:r>
      <w:r>
        <w:rPr>
          <w:bCs/>
          <w:b/>
        </w:rPr>
        <w:t xml:space="preserve">"factory_gate"</w:t>
      </w:r>
      <w:r>
        <w:t xml:space="preserve">, encompassing all activities from raw material acquisition (cradle) through manufacturing and assembly, up to the point the finished product leaves the production facility in China. However, to provide a holistic view of the product\'s environmental impact, this analysis extends to a</w:t>
      </w:r>
      <w:r>
        <w:t xml:space="preserve"> </w:t>
      </w:r>
      <w:r>
        <w:rPr>
          <w:bCs/>
          <w:b/>
        </w:rPr>
        <w:t xml:space="preserve">"cradle-to-grave"</w:t>
      </w:r>
      <w:r>
        <w:t xml:space="preserve"> </w:t>
      </w:r>
      <w:r>
        <w:t xml:space="preserve">perspective by incorporating emissions from the product\'s use phase and end-of-life (EoL) management, as detailed in the parameters. This comprehensive approach aligns with best practices for understanding full value chain impacts.</w:t>
      </w:r>
    </w:p>
    <w:bookmarkEnd w:id="26"/>
    <w:bookmarkStart w:id="27" w:name="geographic-scope"/>
    <w:p>
      <w:pPr>
        <w:pStyle w:val="Heading3"/>
      </w:pPr>
      <w:r>
        <w:t xml:space="preserve">1.3 Geographic Scope</w:t>
      </w:r>
    </w:p>
    <w:p>
      <w:pPr>
        <w:pStyle w:val="FirstParagraph"/>
      </w:pPr>
      <w:r>
        <w:t xml:space="preserve">The</w:t>
      </w:r>
      <w:r>
        <w:t xml:space="preserve"> </w:t>
      </w:r>
      <w:r>
        <w:rPr>
          <w:bCs/>
          <w:b/>
        </w:rPr>
        <w:t xml:space="preserve">Final Production Country</w:t>
      </w:r>
      <w:r>
        <w:t xml:space="preserve"> </w:t>
      </w:r>
      <w:r>
        <w:t xml:space="preserve">for the EcoSmart Widget X is</w:t>
      </w:r>
      <w:r>
        <w:t xml:space="preserve"> </w:t>
      </w:r>
      <w:r>
        <w:rPr>
          <w:bCs/>
          <w:b/>
        </w:rPr>
        <w:t xml:space="preserve">China</w:t>
      </w:r>
      <w:r>
        <w:t xml:space="preserve">. The</w:t>
      </w:r>
      <w:r>
        <w:t xml:space="preserve"> </w:t>
      </w:r>
      <w:r>
        <w:rPr>
          <w:bCs/>
          <w:b/>
        </w:rPr>
        <w:t xml:space="preserve">Supply Chain Focus</w:t>
      </w:r>
      <w:r>
        <w:t xml:space="preserve"> </w:t>
      </w:r>
      <w:r>
        <w:t xml:space="preserve">is primarily</w:t>
      </w:r>
      <w:r>
        <w:t xml:space="preserve"> </w:t>
      </w:r>
      <w:r>
        <w:rPr>
          <w:bCs/>
          <w:b/>
        </w:rPr>
        <w:t xml:space="preserve">Europe Focused</w:t>
      </w:r>
      <w:r>
        <w:t xml:space="preserve"> </w:t>
      </w:r>
      <w:r>
        <w:t xml:space="preserve">for upstream material acquisition and distribution, reflecting the global nature of modern supply chains.</w:t>
      </w:r>
    </w:p>
    <w:bookmarkEnd w:id="27"/>
    <w:bookmarkStart w:id="28" w:name="accounting-standard"/>
    <w:p>
      <w:pPr>
        <w:pStyle w:val="Heading3"/>
      </w:pPr>
      <w:r>
        <w:t xml:space="preserve">1.4 Accounting Standard</w:t>
      </w:r>
    </w:p>
    <w:p>
      <w:pPr>
        <w:pStyle w:val="FirstParagraph"/>
      </w:pPr>
      <w:r>
        <w:t xml:space="preserve">This PCF analysis is conducted in strict adherence to the</w:t>
      </w:r>
      <w:r>
        <w:t xml:space="preserve"> </w:t>
      </w:r>
      <w:r>
        <w:rPr>
          <w:bCs/>
          <w:b/>
        </w:rPr>
        <w:t xml:space="preserve">GHG Protocol</w:t>
      </w:r>
      <w:r>
        <w:t xml:space="preserve"> </w:t>
      </w:r>
      <w:r>
        <w:t xml:space="preserve">standards, categorizing emissions into Scope 1 (direct emissions), Scope 2 (purchased energy), and Scope 3 (value chain emissions) to ensure consistency and comparability.</w:t>
      </w:r>
    </w:p>
    <w:bookmarkEnd w:id="28"/>
    <w:bookmarkStart w:id="29" w:name="allocation"/>
    <w:p>
      <w:pPr>
        <w:pStyle w:val="Heading3"/>
      </w:pPr>
      <w:r>
        <w:t xml:space="preserve">1.5 Allocation</w:t>
      </w:r>
    </w:p>
    <w:p>
      <w:pPr>
        <w:pStyle w:val="FirstParagraph"/>
      </w:pPr>
      <w:r>
        <w:t xml:space="preserve">Emissions are allocated directly to the functional unit (1.0 unit of EcoSmart Widget X) based on mass, energy consumption, and distance-based activity data. For processes with multiple outputs, allocation is performed using scientifically justifiable methods, typically mass allocation where appropriate, to avoid double counting and ensure accurate attribution of impacts.</w:t>
      </w:r>
    </w:p>
    <w:p>
      <w:r>
        <w:pict>
          <v:rect style="width:0;height:1.5pt" o:hralign="center" o:hrstd="t" o:hr="t"/>
        </w:pict>
      </w:r>
    </w:p>
    <w:bookmarkEnd w:id="29"/>
    <w:bookmarkStart w:id="30" w:name="X07cf0ea829f60a4f8fa47c00f72a11793fbe483"/>
    <w:p>
      <w:pPr>
        <w:pStyle w:val="Heading2"/>
      </w:pPr>
      <w:r>
        <w:t xml:space="preserve">2. Lifecycle Mapping (LCI Inventory Stages) &amp; 3. Data Collection</w:t>
      </w:r>
    </w:p>
    <w:bookmarkEnd w:id="30"/>
    <w:p>
      <w:pPr>
        <w:pStyle w:val="FirstParagraph"/>
      </w:pPr>
      <w:r>
        <w:t xml:space="preserve">The lifecycle of the EcoSmart Widget X is mapped across five key stages: Material Acquisition &amp; Pre-processing, Production, Transportation, Use Phase, and End-of-Life. Data for each stage has been collected or estimated based on the provided parameters, with illustrative emission factors primarily referencing Ecoinvent and DEFRA databases where specific primary data was not supplied.</w:t>
      </w:r>
    </w:p>
    <w:bookmarkStart w:id="31" w:name="X1198c8af25dd1a2ebffa686809674f976343a37"/>
    <w:p>
      <w:pPr>
        <w:pStyle w:val="Heading3"/>
      </w:pPr>
      <w:r>
        <w:t xml:space="preserve">3.1 Material Acquisition &amp; Pre-processing (Scope 3 - Upstream)</w:t>
      </w:r>
    </w:p>
    <w:p>
      <w:pPr>
        <w:pStyle w:val="FirstParagraph"/>
      </w:pPr>
      <w:r>
        <w:t xml:space="preserve">The detailed Bill of Materials (BOM) for gduzqktvmn (EcoSmart Widget X) provides the foundation for calculating the emissions associated with raw material extraction and processing. These emissions are categorized under Scope 3, Category 1 (Purchased Goods and Services). The following table summarizes the material inputs and their calculated carbon impact using specific emission factors.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9.0</w:t>
            </w:r>
          </w:p>
        </w:tc>
        <w:tc>
          <w:tcPr/>
          <w:p>
            <w:pPr>
              <w:pStyle w:val="Compact"/>
              <w:jc w:val="left"/>
            </w:pPr>
            <w:r>
              <w:t xml:space="preserve">4.50</w:t>
            </w:r>
          </w:p>
        </w:tc>
      </w:tr>
      <w:tr>
        <w:tc>
          <w:tcPr/>
          <w:p>
            <w:pPr>
              <w:pStyle w:val="Compact"/>
              <w:jc w:val="left"/>
            </w:pPr>
            <w:r>
              <w:t xml:space="preserve">2</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3</w:t>
            </w:r>
          </w:p>
        </w:tc>
        <w:tc>
          <w:tcPr/>
          <w:p>
            <w:pPr>
              <w:pStyle w:val="Compact"/>
              <w:jc w:val="left"/>
            </w:pPr>
            <w:r>
              <w:t xml:space="preserve">Copper Wire (Internal)</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0.13</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5</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Sheet 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0.8</w:t>
            </w:r>
          </w:p>
        </w:tc>
        <w:tc>
          <w:tcPr/>
          <w:p>
            <w:pPr>
              <w:pStyle w:val="Compact"/>
              <w:jc w:val="left"/>
            </w:pPr>
            <w:r>
              <w:t xml:space="preserve">0.12</w:t>
            </w:r>
          </w:p>
        </w:tc>
      </w:tr>
      <w:tr>
        <w:tc>
          <w:tcPr>
            <w:gridSpan w:val="7"/>
          </w:tcPr>
          <w:p>
            <w:pPr>
              <w:pStyle w:val="Compact"/>
              <w:jc w:val="left"/>
            </w:pPr>
            <w:r>
              <w:rPr>
                <w:bCs/>
                <w:b/>
              </w:rPr>
              <w:t xml:space="preserve">Subtotal Material Footprint</w:t>
            </w:r>
          </w:p>
        </w:tc>
        <w:tc>
          <w:tcPr/>
          <w:p>
            <w:pPr>
              <w:pStyle w:val="Compact"/>
              <w:jc w:val="left"/>
            </w:pPr>
            <w:r>
              <w:rPr>
                <w:bCs/>
                <w:b/>
              </w:rPr>
              <w:t xml:space="preserve">6.65</w:t>
            </w:r>
          </w:p>
        </w:tc>
      </w:tr>
    </w:tbl>
    <w:bookmarkEnd w:id="31"/>
    <w:bookmarkStart w:id="32" w:name="production-phase-scope-1-2"/>
    <w:p>
      <w:pPr>
        <w:pStyle w:val="Heading3"/>
      </w:pPr>
      <w:r>
        <w:t xml:space="preserve">3.2 Production Phase (Scope 1 &amp; 2)</w:t>
      </w:r>
    </w:p>
    <w:p>
      <w:pPr>
        <w:pStyle w:val="FirstParagraph"/>
      </w:pPr>
      <w:r>
        <w:t xml:space="preserve">The production of EcoSmart Widget X takes place in China. Emissions from the production phase are primarily due to purchased electricity (Scope 2) and any direct fuel combustion (Scope 1). Given the parameters, the focus is on energy consumption.</w:t>
      </w:r>
    </w:p>
    <w:p>
      <w:pPr>
        <w:numPr>
          <w:ilvl w:val="0"/>
          <w:numId w:val="1001"/>
        </w:numPr>
        <w:pStyle w:val="Compact"/>
      </w:pPr>
      <w:r>
        <w:rPr>
          <w:bCs/>
          <w:b/>
        </w:rPr>
        <w:t xml:space="preserve">Energy Intensity (kWh/unit):</w:t>
      </w:r>
      <w:r>
        <w:t xml:space="preserve"> </w:t>
      </w:r>
      <w:r>
        <w:t xml:space="preserve">15.0 kWh/unit</w:t>
      </w:r>
    </w:p>
    <w:p>
      <w:pPr>
        <w:numPr>
          <w:ilvl w:val="0"/>
          <w:numId w:val="1001"/>
        </w:numPr>
        <w:pStyle w:val="Compact"/>
      </w:pPr>
      <w:r>
        <w:rPr>
          <w:bCs/>
          <w:b/>
        </w:rPr>
        <w:t xml:space="preserve">Renewable Energy Usage:</w:t>
      </w:r>
      <w:r>
        <w:t xml:space="preserve"> </w:t>
      </w:r>
      <w:r>
        <w:t xml:space="preserve">70% of electricity in production is sourced from renewable energy (verified via RECs). This significantly reduces the Scope 2 emissions.</w:t>
      </w:r>
    </w:p>
    <w:p>
      <w:pPr>
        <w:numPr>
          <w:ilvl w:val="0"/>
          <w:numId w:val="1001"/>
        </w:numPr>
        <w:pStyle w:val="Compact"/>
      </w:pPr>
      <w:r>
        <w:rPr>
          <w:bCs/>
          <w:b/>
        </w:rPr>
        <w:t xml:space="preserve">Non-renewable Electricity Share:</w:t>
      </w:r>
      <w:r>
        <w:t xml:space="preserve"> </w:t>
      </w:r>
      <w:r>
        <w:t xml:space="preserve">15.0 kWh/unit * (1 - 0.70) = 4.5 kWh/unit</w:t>
      </w:r>
    </w:p>
    <w:p>
      <w:pPr>
        <w:numPr>
          <w:ilvl w:val="0"/>
          <w:numId w:val="1001"/>
        </w:numPr>
        <w:pStyle w:val="Compact"/>
      </w:pPr>
      <w:r>
        <w:rPr>
          <w:bCs/>
          <w:b/>
        </w:rPr>
        <w:t xml:space="preserve">Assumed China Grid Emission Factor:</w:t>
      </w:r>
      <w:r>
        <w:t xml:space="preserve"> </w:t>
      </w:r>
      <w:r>
        <w:t xml:space="preserve">0.65 kgCO2e/kWh (illustrative average for China\'s electricity mix).</w:t>
      </w:r>
    </w:p>
    <w:bookmarkEnd w:id="32"/>
    <w:bookmarkStart w:id="33" w:name="X981923b8cb60f0edee598a5efe02199461582eb"/>
    <w:p>
      <w:pPr>
        <w:pStyle w:val="Heading3"/>
      </w:pPr>
      <w:r>
        <w:t xml:space="preserve">3.3 Transportation (Scope 3 - Upstream &amp; Downstream)</w:t>
      </w:r>
    </w:p>
    <w:p>
      <w:pPr>
        <w:pStyle w:val="FirstParagraph"/>
      </w:pPr>
      <w:r>
        <w:t xml:space="preserve">Transportation emissions include both inbound logistics for materials and outbound logistics for the finished product. These fall under Scope 3, Category 4 (Upstream Transportation and Distribution) and Category 9 (Downstream Transportation and Distribution).</w:t>
      </w:r>
    </w:p>
    <w:p>
      <w:pPr>
        <w:numPr>
          <w:ilvl w:val="0"/>
          <w:numId w:val="1002"/>
        </w:numPr>
        <w:pStyle w:val="Compact"/>
      </w:pPr>
      <w:r>
        <w:rPr>
          <w:bCs/>
          <w:b/>
        </w:rPr>
        <w:t xml:space="preserve">Transport Mode:</w:t>
      </w:r>
      <w:r>
        <w:t xml:space="preserve"> </w:t>
      </w:r>
      <w:r>
        <w:t xml:space="preserve">Sea Freight (Container Ship), Road Freight (HGV 40t+), Courier Van Delivery</w:t>
      </w:r>
    </w:p>
    <w:p>
      <w:pPr>
        <w:numPr>
          <w:ilvl w:val="0"/>
          <w:numId w:val="1002"/>
        </w:numPr>
        <w:pStyle w:val="Compact"/>
      </w:pPr>
      <w:r>
        <w:rPr>
          <w:bCs/>
          <w:b/>
        </w:rPr>
        <w:t xml:space="preserve">Transport Distance (Total illustrative):</w:t>
      </w:r>
      <w:r>
        <w:t xml:space="preserve"> </w:t>
      </w:r>
      <w:r>
        <w:t xml:space="preserve">8000 km (Sea Freight), 1000 km (Road Freight - regional/inland), 50 km (Last-Mile)</w:t>
      </w:r>
    </w:p>
    <w:p>
      <w:pPr>
        <w:numPr>
          <w:ilvl w:val="0"/>
          <w:numId w:val="1002"/>
        </w:numPr>
        <w:pStyle w:val="Compact"/>
      </w:pPr>
      <w:r>
        <w:rPr>
          <w:bCs/>
          <w:b/>
        </w:rPr>
        <w:t xml:space="preserve">Product Mass (for transport calculation):</w:t>
      </w:r>
      <w:r>
        <w:t xml:space="preserve"> </w:t>
      </w:r>
      <w:r>
        <w:t xml:space="preserve">~1.0 kg (including packaging)</w:t>
      </w:r>
    </w:p>
    <w:p>
      <w:pPr>
        <w:numPr>
          <w:ilvl w:val="0"/>
          <w:numId w:val="1002"/>
        </w:numPr>
        <w:pStyle w:val="Compact"/>
      </w:pPr>
      <w:r>
        <w:rPr>
          <w:bCs/>
          <w:b/>
        </w:rPr>
        <w:t xml:space="preserve">Illustrative Emission Factors:</w:t>
      </w:r>
    </w:p>
    <w:p>
      <w:pPr>
        <w:numPr>
          <w:ilvl w:val="1"/>
          <w:numId w:val="1003"/>
        </w:numPr>
        <w:pStyle w:val="Compact"/>
      </w:pPr>
      <w:r>
        <w:t xml:space="preserve">Sea Freight (Container Ship): 0.015 kgCO2e/tonne-km (or 0.000015 kgCO2e/kg-km)</w:t>
      </w:r>
    </w:p>
    <w:p>
      <w:pPr>
        <w:numPr>
          <w:ilvl w:val="1"/>
          <w:numId w:val="1003"/>
        </w:numPr>
        <w:pStyle w:val="Compact"/>
      </w:pPr>
      <w:r>
        <w:t xml:space="preserve">Road Freight (HGV 40t+, Europe): 0.08 kgCO2e/tonne-km (or 0.00008 kgCO2e/kg-km)</w:t>
      </w:r>
    </w:p>
    <w:p>
      <w:pPr>
        <w:numPr>
          <w:ilvl w:val="1"/>
          <w:numId w:val="1003"/>
        </w:numPr>
        <w:pStyle w:val="Compact"/>
      </w:pPr>
      <w:r>
        <w:t xml:space="preserve">Courier Van Delivery (Last-Mile): 0.002 kgCO2e/km (per kg for illustrative purposes, assuming allocation over a typical van load) or 0.1 kgCO2e for 50km per unit (simplified parcel impact).</w:t>
      </w:r>
    </w:p>
    <w:bookmarkEnd w:id="33"/>
    <w:bookmarkStart w:id="34" w:name="use-phase-scope-3---downstream"/>
    <w:p>
      <w:pPr>
        <w:pStyle w:val="Heading3"/>
      </w:pPr>
      <w:r>
        <w:t xml:space="preserve">3.4 Use Phase (Scope 3 - Downstream)</w:t>
      </w:r>
    </w:p>
    <w:p>
      <w:pPr>
        <w:pStyle w:val="FirstParagraph"/>
      </w:pPr>
      <w:r>
        <w:t xml:space="preserve">The use phase accounts for energy consumption during the product\'s operational lifespan, categorized under Scope 3, Category 11 (Use of Sold Products).</w:t>
      </w:r>
    </w:p>
    <w:p>
      <w:pPr>
        <w:numPr>
          <w:ilvl w:val="0"/>
          <w:numId w:val="1004"/>
        </w:numPr>
        <w:pStyle w:val="Compact"/>
      </w:pPr>
      <w:r>
        <w:rPr>
          <w:bCs/>
          <w:b/>
        </w:rPr>
        <w:t xml:space="preserve">Product Lifespan:</w:t>
      </w:r>
      <w:r>
        <w:t xml:space="preserve"> </w:t>
      </w:r>
      <w:r>
        <w:t xml:space="preserve">8 years</w:t>
      </w:r>
    </w:p>
    <w:p>
      <w:pPr>
        <w:numPr>
          <w:ilvl w:val="0"/>
          <w:numId w:val="1004"/>
        </w:numPr>
        <w:pStyle w:val="Compact"/>
      </w:pPr>
      <w:r>
        <w:rPr>
          <w:bCs/>
          <w:b/>
        </w:rPr>
        <w:t xml:space="preserve">Energy Consumption in Use:</w:t>
      </w:r>
      <w:r>
        <w:t xml:space="preserve"> </w:t>
      </w:r>
      <w:r>
        <w:t xml:space="preserve">5 kWh/year</w:t>
      </w:r>
    </w:p>
    <w:p>
      <w:pPr>
        <w:numPr>
          <w:ilvl w:val="0"/>
          <w:numId w:val="1004"/>
        </w:numPr>
        <w:pStyle w:val="Compact"/>
      </w:pPr>
      <w:r>
        <w:rPr>
          <w:bCs/>
          <w:b/>
        </w:rPr>
        <w:t xml:space="preserve">Total Energy Consumption over Lifespan:</w:t>
      </w:r>
      <w:r>
        <w:t xml:space="preserve"> </w:t>
      </w:r>
      <w:r>
        <w:t xml:space="preserve">5 kWh/year * 8 years = 40 kWh</w:t>
      </w:r>
    </w:p>
    <w:p>
      <w:pPr>
        <w:numPr>
          <w:ilvl w:val="0"/>
          <w:numId w:val="1004"/>
        </w:numPr>
        <w:pStyle w:val="Compact"/>
      </w:pPr>
      <w:r>
        <w:rPr>
          <w:bCs/>
          <w:b/>
        </w:rPr>
        <w:t xml:space="preserve">Assumed European Average Grid Emission Factor (for Use Phase):</w:t>
      </w:r>
      <w:r>
        <w:t xml:space="preserve"> </w:t>
      </w:r>
      <w:r>
        <w:t xml:space="preserve">0.25 kgCO2e/kWh (illustrative average, as the product is sold in Europe-focused markets).</w:t>
      </w:r>
    </w:p>
    <w:bookmarkEnd w:id="34"/>
    <w:bookmarkStart w:id="35" w:name="end-of-life-eol-scope-3---downstream"/>
    <w:p>
      <w:pPr>
        <w:pStyle w:val="Heading3"/>
      </w:pPr>
      <w:r>
        <w:t xml:space="preserve">3.5 End-of-Life (EoL) (Scope 3 - Downstream)</w:t>
      </w:r>
    </w:p>
    <w:p>
      <w:pPr>
        <w:pStyle w:val="FirstParagraph"/>
      </w:pPr>
      <w:r>
        <w:t xml:space="preserve">End-of-life emissions and potential credits from recycling are considered under Scope 3, Category 12 (End-of-Life Treatment of Sold Products).</w:t>
      </w:r>
    </w:p>
    <w:p>
      <w:pPr>
        <w:numPr>
          <w:ilvl w:val="0"/>
          <w:numId w:val="1005"/>
        </w:numPr>
        <w:pStyle w:val="Compact"/>
      </w:pPr>
      <w:r>
        <w:rPr>
          <w:bCs/>
          <w:b/>
        </w:rPr>
        <w:t xml:space="preserve">Recyclability Percentage:</w:t>
      </w:r>
      <w:r>
        <w:t xml:space="preserve"> </w:t>
      </w:r>
      <w:r>
        <w:t xml:space="preserve">80% of product mass is theoretically recyclable.</w:t>
      </w:r>
    </w:p>
    <w:p>
      <w:pPr>
        <w:numPr>
          <w:ilvl w:val="0"/>
          <w:numId w:val="1005"/>
        </w:numPr>
        <w:pStyle w:val="Compact"/>
      </w:pPr>
      <w:r>
        <w:rPr>
          <w:bCs/>
          <w:b/>
        </w:rPr>
        <w:t xml:space="preserve">Circular/Take-back Programs:</w:t>
      </w:r>
      <w:r>
        <w:t xml:space="preserve"> </w:t>
      </w:r>
      <w:r>
        <w:t xml:space="preserve">Innovate Global Corp has an established product take-back and refurbishment program implemented in key European markets. This program aims to maximize material recovery and minimize waste, potentially offering avoidance credits for virgin material production.</w:t>
      </w:r>
    </w:p>
    <w:p>
      <w:pPr>
        <w:numPr>
          <w:ilvl w:val="0"/>
          <w:numId w:val="1005"/>
        </w:numPr>
        <w:pStyle w:val="Compact"/>
      </w:pPr>
      <w:r>
        <w:rPr>
          <w:bCs/>
          <w:b/>
        </w:rPr>
        <w:t xml:space="preserve">Product Mass (for EoL):</w:t>
      </w:r>
      <w:r>
        <w:t xml:space="preserve"> </w:t>
      </w:r>
      <w:r>
        <w:t xml:space="preserve">~1.0 kg (excluding packaging, as packaging EoL is often considered separately or within materials)</w:t>
      </w:r>
    </w:p>
    <w:p>
      <w:pPr>
        <w:numPr>
          <w:ilvl w:val="0"/>
          <w:numId w:val="1005"/>
        </w:numPr>
        <w:pStyle w:val="Compact"/>
      </w:pPr>
      <w:r>
        <w:rPr>
          <w:bCs/>
          <w:b/>
        </w:rPr>
        <w:t xml:space="preserve">Illustrative EoL Scenario:</w:t>
      </w:r>
    </w:p>
    <w:p>
      <w:pPr>
        <w:numPr>
          <w:ilvl w:val="1"/>
          <w:numId w:val="1006"/>
        </w:numPr>
        <w:pStyle w:val="Compact"/>
      </w:pPr>
      <w:r>
        <w:t xml:space="preserve">80% recycled: Potential avoided emissions (credit) for virgin material displacement. (e.g., -0.5 kgCO2e/kg net credit for mixed recyclables).</w:t>
      </w:r>
    </w:p>
    <w:p>
      <w:pPr>
        <w:numPr>
          <w:ilvl w:val="1"/>
          <w:numId w:val="1006"/>
        </w:numPr>
        <w:pStyle w:val="Compact"/>
      </w:pPr>
      <w:r>
        <w:t xml:space="preserve">20% disposed: Emissions from landfill/incineration. (e.g., +0.1 kgCO2e/kg).</w:t>
      </w:r>
    </w:p>
    <w:p>
      <w:r>
        <w:pict>
          <v:rect style="width:0;height:1.5pt" o:hralign="center" o:hrstd="t" o:hr="t"/>
        </w:pict>
      </w:r>
    </w:p>
    <w:bookmarkEnd w:id="35"/>
    <w:bookmarkStart w:id="36" w:name="Xdd1c2ba429305467bad58a0828410d9d0fce25c"/>
    <w:p>
      <w:pPr>
        <w:pStyle w:val="Heading2"/>
      </w:pPr>
      <w:r>
        <w:t xml:space="preserve">4. Emissions Calculation (Activity * Emission Factor = CO2e)</w:t>
      </w:r>
    </w:p>
    <w:bookmarkEnd w:id="36"/>
    <w:p>
      <w:pPr>
        <w:pStyle w:val="FirstParagraph"/>
      </w:pPr>
      <w:r>
        <w:t xml:space="preserve">Emissions are calculated for each life cycle stage and categorized according to the GHG Protocol. All results are expressed in kilograms of carbon dioxide equivalent (kgCO2e), encompassing all relevant greenhouse gases (CO2, CH4, N2O, HFCs, PFCs, SF6, NF3) converted using their respective Global Warming Potentials (GWPs).</w:t>
      </w:r>
    </w:p>
    <w:p>
      <w:pPr>
        <w:pStyle w:val="BodyText"/>
      </w:pPr>
      <w:r>
        <w:rPr>
          <w:bCs/>
          <w:b/>
        </w:rPr>
        <w:t xml:space="preserve">Note on Emission Factors:</w:t>
      </w:r>
      <w:r>
        <w:t xml:space="preserve"> </w:t>
      </w:r>
      <w:r>
        <w:t xml:space="preserve">The emission factors used in this report are illustrative, drawing from publicly available data and industry standards (e.g., Ecoinvent, DEFRA). For precise accounting, company-specific primary data and verified regional emission factors should be utilized.</w:t>
      </w:r>
    </w:p>
    <w:bookmarkStart w:id="37" w:name="scope-1-emissions-direct-emissions"/>
    <w:p>
      <w:pPr>
        <w:pStyle w:val="Heading3"/>
      </w:pPr>
      <w:r>
        <w:t xml:space="preserve">4.1 Scope 1 Emissions (Direct Emissions)</w:t>
      </w:r>
    </w:p>
    <w:p>
      <w:pPr>
        <w:pStyle w:val="FirstParagraph"/>
      </w:pPr>
      <w:r>
        <w:t xml:space="preserve">For a Product Carbon Footprint focused on manufactured goods with a "factory_gate" production boundary, direct (Scope 1) emissions would typically come from on-site fuel combustion (e.g., for heating, industrial processes) that is directly owned or controlled by Innovate Global Corp. Assuming no significant direct combustion processes solely attributable to the production of one unit of EcoSmart Widget X beyond what\'s captured in material processing, Scope 1 emissions are considered negligible or embedded within the upstream material impacts and Scope 2 energy calculations for this specific product analysis.</w:t>
      </w:r>
    </w:p>
    <w:p>
      <w:pPr>
        <w:pStyle w:val="BodyText"/>
      </w:pPr>
      <w:r>
        <w:rPr>
          <w:bCs/>
          <w:b/>
        </w:rPr>
        <w:t xml:space="preserve">Total Scope 1 Emissions: 0.00 kgCO2e</w:t>
      </w:r>
      <w:r>
        <w:t xml:space="preserve"> </w:t>
      </w:r>
      <w:r>
        <w:t xml:space="preserve">(Assumed negligible for product-specific direct operations)</w:t>
      </w:r>
    </w:p>
    <w:bookmarkEnd w:id="37"/>
    <w:bookmarkStart w:id="38" w:name="scope-2-emissions-purchased-energy"/>
    <w:p>
      <w:pPr>
        <w:pStyle w:val="Heading3"/>
      </w:pPr>
      <w:r>
        <w:t xml:space="preserve">4.2 Scope 2 Emissions (Purchased Energy)</w:t>
      </w:r>
    </w:p>
    <w:p>
      <w:pPr>
        <w:pStyle w:val="FirstParagraph"/>
      </w:pPr>
      <w:r>
        <w:t xml:space="preserve">Scope 2 emissions account for indirect GHG emissions from the generation of purchased electricity for the manufacturing process.</w:t>
      </w:r>
    </w:p>
    <w:p>
      <w:pPr>
        <w:numPr>
          <w:ilvl w:val="0"/>
          <w:numId w:val="1007"/>
        </w:numPr>
        <w:pStyle w:val="Compact"/>
      </w:pPr>
      <w:r>
        <w:t xml:space="preserve">Non-renewable electricity consumed: 4.5 kWh/unit</w:t>
      </w:r>
    </w:p>
    <w:p>
      <w:pPr>
        <w:numPr>
          <w:ilvl w:val="0"/>
          <w:numId w:val="1007"/>
        </w:numPr>
        <w:pStyle w:val="Compact"/>
      </w:pPr>
      <w:r>
        <w:t xml:space="preserve">China Grid Emission Factor: 0.65 kgCO2e/kWh</w:t>
      </w:r>
    </w:p>
    <w:p>
      <w:pPr>
        <w:pStyle w:val="FirstParagraph"/>
      </w:pPr>
      <w:r>
        <w:rPr>
          <w:bCs/>
          <w:b/>
        </w:rPr>
        <w:t xml:space="preserve">Calculation:</w:t>
      </w:r>
      <w:r>
        <w:t xml:space="preserve"> </w:t>
      </w:r>
      <w:r>
        <w:t xml:space="preserve">4.5 kWh/unit * 0.65 kgCO2e/kWh = 2.93 kgCO2e</w:t>
      </w:r>
    </w:p>
    <w:p>
      <w:pPr>
        <w:pStyle w:val="BodyText"/>
      </w:pPr>
      <w:r>
        <w:rPr>
          <w:bCs/>
          <w:b/>
        </w:rPr>
        <w:t xml:space="preserve">Total Scope 2 Emissions: 2.93 kgCO2e</w:t>
      </w:r>
    </w:p>
    <w:bookmarkEnd w:id="38"/>
    <w:bookmarkStart w:id="41" w:name="scope-3-emissions-value-chain-emissions"/>
    <w:p>
      <w:pPr>
        <w:pStyle w:val="Heading3"/>
      </w:pPr>
      <w:r>
        <w:t xml:space="preserve">4.3 Scope 3 Emissions (Value Chain Emissions)</w:t>
      </w:r>
    </w:p>
    <w:p>
      <w:pPr>
        <w:pStyle w:val="FirstParagraph"/>
      </w:pPr>
      <w:r>
        <w:t xml:space="preserve">Scope 3 emissions cover all other indirect emissions occurring in the value chain, both upstream and downstream, which typically represent the largest portion of a product\'s carbon footprint.</w:t>
      </w:r>
    </w:p>
    <w:bookmarkStart w:id="39" w:name="upstream-scope-3-emissions"/>
    <w:p>
      <w:pPr>
        <w:pStyle w:val="Heading4"/>
      </w:pPr>
      <w:r>
        <w:t xml:space="preserve">4.3.1 Upstream Scope 3 Emissions</w:t>
      </w:r>
    </w:p>
    <w:p>
      <w:pPr>
        <w:numPr>
          <w:ilvl w:val="0"/>
          <w:numId w:val="1008"/>
        </w:numPr>
        <w:pStyle w:val="Compact"/>
      </w:pPr>
      <w:r>
        <w:rPr>
          <w:bCs/>
          <w:b/>
        </w:rPr>
        <w:t xml:space="preserve">Category 1: Purchased Goods and Services (Materials)</w:t>
      </w:r>
    </w:p>
    <w:p>
      <w:pPr>
        <w:numPr>
          <w:ilvl w:val="1"/>
          <w:numId w:val="1009"/>
        </w:numPr>
        <w:pStyle w:val="Compact"/>
      </w:pPr>
      <w:r>
        <w:t xml:space="preserve">Total Carbon from Bill of Materials: 6.65 kgCO2e (from Table in 3.1)</w:t>
      </w:r>
    </w:p>
    <w:p>
      <w:pPr>
        <w:numPr>
          <w:ilvl w:val="0"/>
          <w:numId w:val="1000"/>
        </w:numPr>
        <w:pStyle w:val="Compact"/>
      </w:pPr>
      <w:r>
        <w:rPr>
          <w:bCs/>
          <w:b/>
        </w:rPr>
        <w:t xml:space="preserve">Subtotal: 6.65 kgCO2e</w:t>
      </w:r>
    </w:p>
    <w:p>
      <w:pPr>
        <w:numPr>
          <w:ilvl w:val="0"/>
          <w:numId w:val="1008"/>
        </w:numPr>
        <w:pStyle w:val="Compact"/>
      </w:pPr>
      <w:r>
        <w:rPr>
          <w:bCs/>
          <w:b/>
        </w:rPr>
        <w:t xml:space="preserve">Category 4: Upstream Transportation and Distribution</w:t>
      </w:r>
    </w:p>
    <w:p>
      <w:pPr>
        <w:numPr>
          <w:ilvl w:val="1"/>
          <w:numId w:val="1010"/>
        </w:numPr>
        <w:pStyle w:val="Compact"/>
      </w:pPr>
      <w:r>
        <w:t xml:space="preserve">Inbound Sea Freight (China to Europe): 1.0 kg * 8000 km * 0.000015 kgCO2e/kg-km = 0.12 kgCO2e</w:t>
      </w:r>
    </w:p>
    <w:p>
      <w:pPr>
        <w:numPr>
          <w:ilvl w:val="1"/>
          <w:numId w:val="1010"/>
        </w:numPr>
        <w:pStyle w:val="Compact"/>
      </w:pPr>
      <w:r>
        <w:t xml:space="preserve">Inbound Road Freight (within Europe): 1.0 kg * 1000 km * 0.00008 kgCO2e/kg-km = 0.08 kgCO2e</w:t>
      </w:r>
    </w:p>
    <w:p>
      <w:pPr>
        <w:numPr>
          <w:ilvl w:val="0"/>
          <w:numId w:val="1000"/>
        </w:numPr>
        <w:pStyle w:val="Compact"/>
      </w:pPr>
      <w:r>
        <w:rPr>
          <w:bCs/>
          <w:b/>
        </w:rPr>
        <w:t xml:space="preserve">Subtotal: 0.20 kgCO2e</w:t>
      </w:r>
    </w:p>
    <w:p>
      <w:pPr>
        <w:pStyle w:val="FirstParagraph"/>
      </w:pPr>
      <w:r>
        <w:rPr>
          <w:bCs/>
          <w:b/>
        </w:rPr>
        <w:t xml:space="preserve">Total Upstream Scope 3 Emissions: 6.65 + 0.20 = 6.85 kgCO2e</w:t>
      </w:r>
    </w:p>
    <w:bookmarkEnd w:id="39"/>
    <w:bookmarkStart w:id="40" w:name="downstream-scope-3-emissions"/>
    <w:p>
      <w:pPr>
        <w:pStyle w:val="Heading4"/>
      </w:pPr>
      <w:r>
        <w:t xml:space="preserve">4.3.2 Downstream Scope 3 Emissions</w:t>
      </w:r>
    </w:p>
    <w:p>
      <w:pPr>
        <w:numPr>
          <w:ilvl w:val="0"/>
          <w:numId w:val="1011"/>
        </w:numPr>
        <w:pStyle w:val="Compact"/>
      </w:pPr>
      <w:r>
        <w:rPr>
          <w:bCs/>
          <w:b/>
        </w:rPr>
        <w:t xml:space="preserve">Category 9: Downstream Transportation and Distribution (Last-Mile)</w:t>
      </w:r>
    </w:p>
    <w:p>
      <w:pPr>
        <w:numPr>
          <w:ilvl w:val="1"/>
          <w:numId w:val="1012"/>
        </w:numPr>
        <w:pStyle w:val="Compact"/>
      </w:pPr>
      <w:r>
        <w:t xml:space="preserve">Last-Mile Delivery (Courier Van): 0.1 kgCO2e (simplified per-unit impact for 50 km)</w:t>
      </w:r>
    </w:p>
    <w:p>
      <w:pPr>
        <w:numPr>
          <w:ilvl w:val="0"/>
          <w:numId w:val="1000"/>
        </w:numPr>
        <w:pStyle w:val="Compact"/>
      </w:pPr>
      <w:r>
        <w:rPr>
          <w:bCs/>
          <w:b/>
        </w:rPr>
        <w:t xml:space="preserve">Subtotal: 0.10 kgCO2e</w:t>
      </w:r>
    </w:p>
    <w:p>
      <w:pPr>
        <w:numPr>
          <w:ilvl w:val="0"/>
          <w:numId w:val="1011"/>
        </w:numPr>
        <w:pStyle w:val="Compact"/>
      </w:pPr>
      <w:r>
        <w:rPr>
          <w:bCs/>
          <w:b/>
        </w:rPr>
        <w:t xml:space="preserve">Category 11: Use of Sold Products</w:t>
      </w:r>
    </w:p>
    <w:p>
      <w:pPr>
        <w:numPr>
          <w:ilvl w:val="1"/>
          <w:numId w:val="1013"/>
        </w:numPr>
        <w:pStyle w:val="Compact"/>
      </w:pPr>
      <w:r>
        <w:t xml:space="preserve">Total Energy Consumption: 40 kWh</w:t>
      </w:r>
    </w:p>
    <w:p>
      <w:pPr>
        <w:numPr>
          <w:ilvl w:val="1"/>
          <w:numId w:val="1013"/>
        </w:numPr>
        <w:pStyle w:val="Compact"/>
      </w:pPr>
      <w:r>
        <w:t xml:space="preserve">European Average Grid Emission Factor: 0.25 kgCO2e/kWh</w:t>
      </w:r>
    </w:p>
    <w:p>
      <w:pPr>
        <w:numPr>
          <w:ilvl w:val="1"/>
          <w:numId w:val="1013"/>
        </w:numPr>
        <w:pStyle w:val="Compact"/>
      </w:pPr>
      <w:r>
        <w:t xml:space="preserve">Calculation: 40 kWh * 0.25 kgCO2e/kWh = 10.00 kgCO2e</w:t>
      </w:r>
    </w:p>
    <w:p>
      <w:pPr>
        <w:numPr>
          <w:ilvl w:val="0"/>
          <w:numId w:val="1000"/>
        </w:numPr>
        <w:pStyle w:val="Compact"/>
      </w:pPr>
      <w:r>
        <w:rPr>
          <w:bCs/>
          <w:b/>
        </w:rPr>
        <w:t xml:space="preserve">Subtotal: 10.00 kgCO2e</w:t>
      </w:r>
    </w:p>
    <w:p>
      <w:pPr>
        <w:numPr>
          <w:ilvl w:val="0"/>
          <w:numId w:val="1011"/>
        </w:numPr>
        <w:pStyle w:val="Compact"/>
      </w:pPr>
      <w:r>
        <w:rPr>
          <w:bCs/>
          <w:b/>
        </w:rPr>
        <w:t xml:space="preserve">Category 12: End-of-Life Treatment of Sold Products</w:t>
      </w:r>
    </w:p>
    <w:p>
      <w:pPr>
        <w:numPr>
          <w:ilvl w:val="1"/>
          <w:numId w:val="1014"/>
        </w:numPr>
        <w:pStyle w:val="Compact"/>
      </w:pPr>
      <w:r>
        <w:t xml:space="preserve">Recycled Portion (80% of 1.0 kg = 0.8 kg): 0.8 kg * (-0.5 kgCO2e/kg credit) = -0.40 kgCO2e</w:t>
      </w:r>
    </w:p>
    <w:p>
      <w:pPr>
        <w:numPr>
          <w:ilvl w:val="1"/>
          <w:numId w:val="1014"/>
        </w:numPr>
        <w:pStyle w:val="Compact"/>
      </w:pPr>
      <w:r>
        <w:t xml:space="preserve">Disposed Portion (20% of 1.0 kg = 0.2 kg): 0.2 kg * (0.1 kgCO2e/kg burden) = 0.02 kgCO2e</w:t>
      </w:r>
    </w:p>
    <w:p>
      <w:pPr>
        <w:numPr>
          <w:ilvl w:val="0"/>
          <w:numId w:val="1000"/>
        </w:numPr>
        <w:pStyle w:val="Compact"/>
      </w:pPr>
      <w:r>
        <w:rPr>
          <w:bCs/>
          <w:b/>
        </w:rPr>
        <w:t xml:space="preserve">Subtotal: -0.40 + 0.02 = -0.38 kgCO2e</w:t>
      </w:r>
      <w:r>
        <w:t xml:space="preserve"> </w:t>
      </w:r>
      <w:r>
        <w:t xml:space="preserve">(Net credit/avoided emissions)</w:t>
      </w:r>
    </w:p>
    <w:p>
      <w:pPr>
        <w:pStyle w:val="FirstParagraph"/>
      </w:pPr>
      <w:r>
        <w:rPr>
          <w:bCs/>
          <w:b/>
        </w:rPr>
        <w:t xml:space="preserve">Total Downstream Scope 3 Emissions: 0.10 + 10.00 - 0.38 = 9.72 kgCO2e</w:t>
      </w:r>
    </w:p>
    <w:p>
      <w:r>
        <w:pict>
          <v:rect style="width:0;height:1.5pt" o:hralign="center" o:hrstd="t" o:hr="t"/>
        </w:pict>
      </w:r>
    </w:p>
    <w:bookmarkEnd w:id="40"/>
    <w:bookmarkEnd w:id="41"/>
    <w:bookmarkStart w:id="42" w:name="X5e36326e9f9f961f611dedf4fcfe8f045b5aaa8"/>
    <w:p>
      <w:pPr>
        <w:pStyle w:val="Heading3"/>
      </w:pPr>
      <w:r>
        <w:t xml:space="preserve">Summary of Product Carbon Footprint for EcoSmart Widget X</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Scope &amp; Category</w:t>
            </w:r>
          </w:p>
        </w:tc>
        <w:tc>
          <w:tcPr/>
          <w:p>
            <w:pPr>
              <w:pStyle w:val="Compact"/>
              <w:jc w:val="left"/>
            </w:pPr>
            <w:r>
              <w:t xml:space="preserve">Life Cycle Stage</w:t>
            </w:r>
          </w:p>
        </w:tc>
        <w:tc>
          <w:tcPr/>
          <w:p>
            <w:pPr>
              <w:pStyle w:val="Compact"/>
              <w:jc w:val="left"/>
            </w:pPr>
            <w:r>
              <w:t xml:space="preserve">CO2e (kg) per Functional Unit</w:t>
            </w:r>
          </w:p>
        </w:tc>
      </w:tr>
      <w:tr>
        <w:tc>
          <w:tcPr/>
          <w:p>
            <w:pPr>
              <w:pStyle w:val="Compact"/>
              <w:jc w:val="left"/>
            </w:pPr>
            <w:r>
              <w:t xml:space="preserve">Scope 1 (Direct Emissions)</w:t>
            </w:r>
          </w:p>
        </w:tc>
        <w:tc>
          <w:tcPr/>
          <w:p>
            <w:pPr>
              <w:pStyle w:val="Compact"/>
              <w:jc w:val="left"/>
            </w:pPr>
            <w:r>
              <w:t xml:space="preserve">Production (on-site)</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Production (electricity)</w:t>
            </w:r>
          </w:p>
        </w:tc>
        <w:tc>
          <w:tcPr/>
          <w:p>
            <w:pPr>
              <w:pStyle w:val="Compact"/>
              <w:jc w:val="left"/>
            </w:pPr>
            <w:r>
              <w:t xml:space="preserve">2.93</w:t>
            </w:r>
          </w:p>
        </w:tc>
      </w:tr>
      <w:tr>
        <w:tc>
          <w:tcPr/>
          <w:p>
            <w:pPr>
              <w:pStyle w:val="Compact"/>
              <w:jc w:val="left"/>
            </w:pPr>
            <w:r>
              <w:t xml:space="preserve">Scope 3, Cat 1 (Purchased Goods &amp; Services)</w:t>
            </w:r>
          </w:p>
        </w:tc>
        <w:tc>
          <w:tcPr/>
          <w:p>
            <w:pPr>
              <w:pStyle w:val="Compact"/>
              <w:jc w:val="left"/>
            </w:pPr>
            <w:r>
              <w:t xml:space="preserve">Material Acquisition &amp; Pre-processing</w:t>
            </w:r>
          </w:p>
        </w:tc>
        <w:tc>
          <w:tcPr/>
          <w:p>
            <w:pPr>
              <w:pStyle w:val="Compact"/>
              <w:jc w:val="left"/>
            </w:pPr>
            <w:r>
              <w:t xml:space="preserve">6.65</w:t>
            </w:r>
          </w:p>
        </w:tc>
      </w:tr>
      <w:tr>
        <w:tc>
          <w:tcPr/>
          <w:p>
            <w:pPr>
              <w:pStyle w:val="Compact"/>
              <w:jc w:val="left"/>
            </w:pPr>
            <w:r>
              <w:t xml:space="preserve">Scope 3, Cat 4 (Upstream Transport)</w:t>
            </w:r>
          </w:p>
        </w:tc>
        <w:tc>
          <w:tcPr/>
          <w:p>
            <w:pPr>
              <w:pStyle w:val="Compact"/>
              <w:jc w:val="left"/>
            </w:pPr>
            <w:r>
              <w:t xml:space="preserve">Inbound Logistics</w:t>
            </w:r>
          </w:p>
        </w:tc>
        <w:tc>
          <w:tcPr/>
          <w:p>
            <w:pPr>
              <w:pStyle w:val="Compact"/>
              <w:jc w:val="left"/>
            </w:pPr>
            <w:r>
              <w:t xml:space="preserve">0.20</w:t>
            </w:r>
          </w:p>
        </w:tc>
      </w:tr>
      <w:tr>
        <w:tc>
          <w:tcPr/>
          <w:p>
            <w:pPr>
              <w:pStyle w:val="Compact"/>
              <w:jc w:val="left"/>
            </w:pPr>
            <w:r>
              <w:t xml:space="preserve">Scope 3, Cat 9 (Downstream Transport)</w:t>
            </w:r>
          </w:p>
        </w:tc>
        <w:tc>
          <w:tcPr/>
          <w:p>
            <w:pPr>
              <w:pStyle w:val="Compact"/>
              <w:jc w:val="left"/>
            </w:pPr>
            <w:r>
              <w:t xml:space="preserve">Outbound &amp; Last-Mile Delivery</w:t>
            </w:r>
          </w:p>
        </w:tc>
        <w:tc>
          <w:tcPr/>
          <w:p>
            <w:pPr>
              <w:pStyle w:val="Compact"/>
              <w:jc w:val="left"/>
            </w:pPr>
            <w:r>
              <w:t xml:space="preserve">0.10</w:t>
            </w:r>
          </w:p>
        </w:tc>
      </w:tr>
      <w:tr>
        <w:tc>
          <w:tcPr/>
          <w:p>
            <w:pPr>
              <w:pStyle w:val="Compact"/>
              <w:jc w:val="left"/>
            </w:pPr>
            <w:r>
              <w:t xml:space="preserve">Scope 3, Cat 11 (Use of Sold Products)</w:t>
            </w:r>
          </w:p>
        </w:tc>
        <w:tc>
          <w:tcPr/>
          <w:p>
            <w:pPr>
              <w:pStyle w:val="Compact"/>
              <w:jc w:val="left"/>
            </w:pPr>
            <w:r>
              <w:t xml:space="preserve">Use Phase</w:t>
            </w:r>
          </w:p>
        </w:tc>
        <w:tc>
          <w:tcPr/>
          <w:p>
            <w:pPr>
              <w:pStyle w:val="Compact"/>
              <w:jc w:val="left"/>
            </w:pPr>
            <w:r>
              <w:t xml:space="preserve">10.00</w:t>
            </w:r>
          </w:p>
        </w:tc>
      </w:tr>
      <w:tr>
        <w:tc>
          <w:tcPr/>
          <w:p>
            <w:pPr>
              <w:pStyle w:val="Compact"/>
              <w:jc w:val="left"/>
            </w:pPr>
            <w:r>
              <w:t xml:space="preserve">Scope 3, Cat 12 (EoL Treatment)</w:t>
            </w:r>
          </w:p>
        </w:tc>
        <w:tc>
          <w:tcPr/>
          <w:p>
            <w:pPr>
              <w:pStyle w:val="Compact"/>
              <w:jc w:val="left"/>
            </w:pPr>
            <w:r>
              <w:t xml:space="preserve">End-of-Life Management</w:t>
            </w:r>
          </w:p>
        </w:tc>
        <w:tc>
          <w:tcPr/>
          <w:p>
            <w:pPr>
              <w:pStyle w:val="Compact"/>
              <w:jc w:val="left"/>
            </w:pPr>
            <w:r>
              <w:t xml:space="preserve">-0.38</w:t>
            </w:r>
          </w:p>
        </w:tc>
      </w:tr>
      <w:tr>
        <w:tc>
          <w:tcPr>
            <w:gridSpan w:val="2"/>
          </w:tcPr>
          <w:p>
            <w:pPr>
              <w:pStyle w:val="Compact"/>
              <w:jc w:val="left"/>
            </w:pPr>
            <w:r>
              <w:rPr>
                <w:bCs/>
                <w:b/>
              </w:rPr>
              <w:t xml:space="preserve">TOTAL PRODUCT CARBON FOOTPRINT (Cradle-to-Grave)</w:t>
            </w:r>
          </w:p>
        </w:tc>
        <w:tc>
          <w:tcPr/>
          <w:p>
            <w:pPr>
              <w:pStyle w:val="Compact"/>
              <w:jc w:val="left"/>
            </w:pPr>
            <w:r>
              <w:rPr>
                <w:bCs/>
                <w:b/>
              </w:rPr>
              <w:t xml:space="preserve">19.50</w:t>
            </w:r>
          </w:p>
        </w:tc>
      </w:tr>
    </w:tbl>
    <w:p>
      <w:r>
        <w:pict>
          <v:rect style="width:0;height:1.5pt" o:hralign="center" o:hrstd="t" o:hr="t"/>
        </w:pict>
      </w:r>
    </w:p>
    <w:bookmarkEnd w:id="42"/>
    <w:bookmarkStart w:id="43" w:name="review-report"/>
    <w:p>
      <w:pPr>
        <w:pStyle w:val="Heading2"/>
      </w:pPr>
      <w:r>
        <w:t xml:space="preserve">5. Review &amp; Report</w:t>
      </w:r>
    </w:p>
    <w:bookmarkEnd w:id="43"/>
    <w:bookmarkStart w:id="44" w:name="hotspots-identification"/>
    <w:p>
      <w:pPr>
        <w:pStyle w:val="Heading3"/>
      </w:pPr>
      <w:r>
        <w:t xml:space="preserve">5.1 Hotspots Identification</w:t>
      </w:r>
    </w:p>
    <w:p>
      <w:pPr>
        <w:pStyle w:val="FirstParagraph"/>
      </w:pPr>
      <w:r>
        <w:t xml:space="preserve">The PCF analysis reveals the following key emission hotspots for the EcoSmart Widget X:</w:t>
      </w:r>
    </w:p>
    <w:p>
      <w:pPr>
        <w:numPr>
          <w:ilvl w:val="0"/>
          <w:numId w:val="1015"/>
        </w:numPr>
        <w:pStyle w:val="Compact"/>
      </w:pPr>
      <w:r>
        <w:rPr>
          <w:bCs/>
          <w:b/>
        </w:rPr>
        <w:t xml:space="preserve">Use Phase (51.3% of total PCF):</w:t>
      </w:r>
      <w:r>
        <w:t xml:space="preserve"> </w:t>
      </w:r>
      <w:r>
        <w:t xml:space="preserve">With 10.00 kgCO2e, the energy consumption during the product\'s 8-year lifespan is the single largest contributor. This highlights the importance of energy efficiency in product design and the choice of electricity sources in user markets.</w:t>
      </w:r>
    </w:p>
    <w:p>
      <w:pPr>
        <w:numPr>
          <w:ilvl w:val="0"/>
          <w:numId w:val="1015"/>
        </w:numPr>
        <w:pStyle w:val="Compact"/>
      </w:pPr>
      <w:r>
        <w:rPr>
          <w:bCs/>
          <w:b/>
        </w:rPr>
        <w:t xml:space="preserve">Material Acquisition (34.1% of total PCF):</w:t>
      </w:r>
      <w:r>
        <w:t xml:space="preserve"> </w:t>
      </w:r>
      <w:r>
        <w:t xml:space="preserve">Emissions from purchased materials, particularly Aluminum Casing (4.50 kgCO2e) and Printed Circuit Board (1.20 kgCO2e), constitute a significant portion (6.65 kgCO2e). Focus on low-carbon materials, recycled content, and supplier engagement is crucial here.</w:t>
      </w:r>
    </w:p>
    <w:p>
      <w:pPr>
        <w:numPr>
          <w:ilvl w:val="0"/>
          <w:numId w:val="1015"/>
        </w:numPr>
        <w:pStyle w:val="Compact"/>
      </w:pPr>
      <w:r>
        <w:rPr>
          <w:bCs/>
          <w:b/>
        </w:rPr>
        <w:t xml:space="preserve">Production Energy (15.0% of total PCF):</w:t>
      </w:r>
      <w:r>
        <w:t xml:space="preserve"> </w:t>
      </w:r>
      <w:r>
        <w:t xml:space="preserve">Despite 70% renewable energy usage, the remaining grid electricity accounts for 2.93 kgCO2e. Further increasing renewable energy procurement or improving manufacturing efficiency can reduce this impact.</w:t>
      </w:r>
    </w:p>
    <w:p>
      <w:pPr>
        <w:numPr>
          <w:ilvl w:val="0"/>
          <w:numId w:val="1015"/>
        </w:numPr>
        <w:pStyle w:val="Compact"/>
      </w:pPr>
      <w:r>
        <w:rPr>
          <w:bCs/>
          <w:b/>
        </w:rPr>
        <w:t xml:space="preserve">Transportation (1.5% of total PCF):</w:t>
      </w:r>
      <w:r>
        <w:t xml:space="preserve"> </w:t>
      </w:r>
      <w:r>
        <w:t xml:space="preserve">Both upstream and downstream transportation contribute a smaller but notable portion (0.30 kgCO2e), with last-mile delivery being proportionally higher per km due to vehicle type and load assumptions.</w:t>
      </w:r>
    </w:p>
    <w:p>
      <w:pPr>
        <w:numPr>
          <w:ilvl w:val="0"/>
          <w:numId w:val="1015"/>
        </w:numPr>
        <w:pStyle w:val="Compact"/>
      </w:pPr>
      <w:r>
        <w:rPr>
          <w:bCs/>
          <w:b/>
        </w:rPr>
        <w:t xml:space="preserve">End-of-Life (-1.9% of total PCF):</w:t>
      </w:r>
      <w:r>
        <w:t xml:space="preserve"> </w:t>
      </w:r>
      <w:r>
        <w:t xml:space="preserve">The product\'s high recyclability and circular programs result in a net avoided emission, demonstrating the positive impact of circular economy principles.</w:t>
      </w:r>
    </w:p>
    <w:bookmarkEnd w:id="44"/>
    <w:bookmarkStart w:id="45" w:name="data-reliability-and-assumptions"/>
    <w:p>
      <w:pPr>
        <w:pStyle w:val="Heading3"/>
      </w:pPr>
      <w:r>
        <w:t xml:space="preserve">5.2 Data Reliability and Assumptions</w:t>
      </w:r>
    </w:p>
    <w:p>
      <w:pPr>
        <w:pStyle w:val="FirstParagraph"/>
      </w:pPr>
      <w:r>
        <w:t xml:space="preserve">This report relies on a mix of provided specific parameters and illustrative industry-average emission factors (e.g., from Ecoinvent, DEFRA, and relevant government reports). While efforts have been made to use relevant and recent data, the accuracy of the PCF is dependent on the quality and specificity of the underlying data. Primary data from suppliers (e.g., energy consumption, material-specific emission factors) would enhance the precision of this assessment. Assumptions include standard load factors for transport, average grid mixes for electricity in China (production) and Europe (use phase), and simplified models for end-of-life benefits/burdens.</w:t>
      </w:r>
    </w:p>
    <w:bookmarkEnd w:id="45"/>
    <w:bookmarkStart w:id="46" w:name="adherence-to-ghg-protocol-2026-updates"/>
    <w:p>
      <w:pPr>
        <w:pStyle w:val="Heading3"/>
      </w:pPr>
      <w:r>
        <w:t xml:space="preserve">5.3 Adherence to GHG Protocol &amp; 2026 Updates</w:t>
      </w:r>
    </w:p>
    <w:p>
      <w:pPr>
        <w:pStyle w:val="FirstParagraph"/>
      </w:pPr>
      <w:r>
        <w:t xml:space="preserve">This analysis has been performed according to the GHG Protocol\'s foundational principles for corporate and product accounting.</w:t>
      </w:r>
    </w:p>
    <w:p>
      <w:pPr>
        <w:numPr>
          <w:ilvl w:val="0"/>
          <w:numId w:val="1016"/>
        </w:numPr>
        <w:pStyle w:val="Compact"/>
      </w:pPr>
      <w:r>
        <w:rPr>
          <w:bCs/>
          <w:b/>
        </w:rPr>
        <w:t xml:space="preserve">Scope 1, 2, and 3 Categorization:</w:t>
      </w:r>
      <w:r>
        <w:t xml:space="preserve"> </w:t>
      </w:r>
      <w:r>
        <w:t xml:space="preserve">Emissions are clearly categorized into the three scopes as required by the GHG Protocol.</w:t>
      </w:r>
    </w:p>
    <w:p>
      <w:pPr>
        <w:numPr>
          <w:ilvl w:val="0"/>
          <w:numId w:val="1016"/>
        </w:numPr>
        <w:pStyle w:val="Compact"/>
      </w:pPr>
      <w:r>
        <w:rPr>
          <w:bCs/>
          <w:b/>
        </w:rPr>
        <w:t xml:space="preserve">2026 LSR Update:</w:t>
      </w:r>
      <w:r>
        <w:t xml:space="preserve"> </w:t>
      </w:r>
      <w:r>
        <w:t xml:space="preserve">The GHG Protocol\'s Land Sector and Removals (LSR) Standard, effective January 1, 2027, is designed to provide requirements for accounting for land emissions and CO2 removals, particularly relevant for entities with significant land sector activities or those choosing to report removals. While detailed land-use data for raw materials were not provided, Innovate Global Corp acknowledges the importance of the LSR Standard. Future assessments will seek to incorporate specific land-use emissions and removals related to the supply chain of bio-based materials or direct land management activities, where applicable, to align with this evolving standard.</w:t>
      </w:r>
    </w:p>
    <w:p>
      <w:pPr>
        <w:numPr>
          <w:ilvl w:val="0"/>
          <w:numId w:val="1016"/>
        </w:numPr>
        <w:pStyle w:val="Compact"/>
      </w:pPr>
      <w:r>
        <w:rPr>
          <w:bCs/>
          <w:b/>
        </w:rPr>
        <w:t xml:space="preserve">Scope 3 Compliance (95% Coverage):</w:t>
      </w:r>
      <w:r>
        <w:t xml:space="preserve"> </w:t>
      </w:r>
      <w:r>
        <w:t xml:space="preserve">The GHG Protocol\'s proposed 2026 revisions include a mandatory 95% coverage floor for required Scope 3 emissions. This report aims to cover all material Scope 3 categories based on available data, demonstrating a commitment to comprehensive value chain transparency. Any potential exclusions would be rigorously quantified, disclosed, and justified to ensure compliance with this forthcoming requirement.</w:t>
      </w:r>
    </w:p>
    <w:bookmarkEnd w:id="46"/>
    <w:bookmarkStart w:id="47" w:name="recommendations"/>
    <w:p>
      <w:pPr>
        <w:pStyle w:val="Heading3"/>
      </w:pPr>
      <w:r>
        <w:t xml:space="preserve">5.4 Recommendations</w:t>
      </w:r>
    </w:p>
    <w:p>
      <w:pPr>
        <w:pStyle w:val="FirstParagraph"/>
      </w:pPr>
      <w:r>
        <w:t xml:space="preserve">Based on this PCF analysis, Innovate Global Corp (vvtzinpjtw) should focus on the following to reduce the carbon footprint of EcoSmart Widget X (gduzqktvmn):</w:t>
      </w:r>
    </w:p>
    <w:p>
      <w:pPr>
        <w:numPr>
          <w:ilvl w:val="0"/>
          <w:numId w:val="1017"/>
        </w:numPr>
        <w:pStyle w:val="Compact"/>
      </w:pPr>
      <w:r>
        <w:rPr>
          <w:bCs/>
          <w:b/>
        </w:rPr>
        <w:t xml:space="preserve">Enhance Use Phase Efficiency:</w:t>
      </w:r>
      <w:r>
        <w:t xml:space="preserve"> </w:t>
      </w:r>
      <w:r>
        <w:t xml:space="preserve">Invest in R&amp;D to further reduce the product\'s energy consumption during its operational lifespan. Explore integration with smart energy management systems or design for lower power modes.</w:t>
      </w:r>
    </w:p>
    <w:p>
      <w:pPr>
        <w:numPr>
          <w:ilvl w:val="0"/>
          <w:numId w:val="1017"/>
        </w:numPr>
        <w:pStyle w:val="Compact"/>
      </w:pPr>
      <w:r>
        <w:rPr>
          <w:bCs/>
          <w:b/>
        </w:rPr>
        <w:t xml:space="preserve">Engage Supply Chain for Low-Carbon Materials:</w:t>
      </w:r>
      <w:r>
        <w:t xml:space="preserve"> </w:t>
      </w:r>
      <w:r>
        <w:t xml:space="preserve">Work closely with suppliers to identify and procure lower-carbon alternatives for high-impact materials like aluminum and PCBs. Increase the use of recycled content and evaluate materials based on their lifecycle impact.</w:t>
      </w:r>
    </w:p>
    <w:p>
      <w:pPr>
        <w:numPr>
          <w:ilvl w:val="0"/>
          <w:numId w:val="1017"/>
        </w:numPr>
        <w:pStyle w:val="Compact"/>
      </w:pPr>
      <w:r>
        <w:rPr>
          <w:bCs/>
          <w:b/>
        </w:rPr>
        <w:t xml:space="preserve">Optimize Production Energy:</w:t>
      </w:r>
      <w:r>
        <w:t xml:space="preserve"> </w:t>
      </w:r>
      <w:r>
        <w:t xml:space="preserve">Continue to increase the share of renewable electricity at manufacturing facilities in China beyond 70%, aiming for 100% renewable energy, potentially through direct Power Purchase Agreements (PPAs) or on-site generation.</w:t>
      </w:r>
    </w:p>
    <w:p>
      <w:pPr>
        <w:numPr>
          <w:ilvl w:val="0"/>
          <w:numId w:val="1017"/>
        </w:numPr>
        <w:pStyle w:val="Compact"/>
      </w:pPr>
      <w:r>
        <w:rPr>
          <w:bCs/>
          <w:b/>
        </w:rPr>
        <w:t xml:space="preserve">Refine Logistics:</w:t>
      </w:r>
      <w:r>
        <w:t xml:space="preserve"> </w:t>
      </w:r>
      <w:r>
        <w:t xml:space="preserve">Investigate opportunities to optimize transport routes, consolidate shipments, and shift to lower-emission transport modes (e.g., rail instead of road where feasible) for both inbound and outbound logistics.</w:t>
      </w:r>
    </w:p>
    <w:p>
      <w:pPr>
        <w:numPr>
          <w:ilvl w:val="0"/>
          <w:numId w:val="1017"/>
        </w:numPr>
        <w:pStyle w:val="Compact"/>
      </w:pPr>
      <w:r>
        <w:rPr>
          <w:bCs/>
          <w:b/>
        </w:rPr>
        <w:t xml:space="preserve">Expand Circularity Initiatives:</w:t>
      </w:r>
      <w:r>
        <w:t xml:space="preserve"> </w:t>
      </w:r>
      <w:r>
        <w:t xml:space="preserve">Further develop and promote the existing product take-back and refurbishment programs, exploring opportunities for material upcycling and extending product lifespans to maximize avoided emissions.</w:t>
      </w:r>
    </w:p>
    <w:p>
      <w:pPr>
        <w:numPr>
          <w:ilvl w:val="0"/>
          <w:numId w:val="1017"/>
        </w:numPr>
        <w:pStyle w:val="Compact"/>
      </w:pPr>
      <w:r>
        <w:rPr>
          <w:bCs/>
          <w:b/>
        </w:rPr>
        <w:t xml:space="preserve">Improve Data Quality:</w:t>
      </w:r>
      <w:r>
        <w:t xml:space="preserve"> </w:t>
      </w:r>
      <w:r>
        <w:t xml:space="preserve">Prioritize collecting primary data from key suppliers for material composition, manufacturing energy, and transportation, especially for high-impact categories, to refine the accuracy of future PCF assessments and fully comply with data disaggregation requirements under the evolving GHG Protocol.</w:t>
      </w:r>
    </w:p>
    <w:p>
      <w:r>
        <w:pict>
          <v:rect style="width:0;height:1.5pt" o:hralign="center" o:hrstd="t" o:hr="t"/>
        </w:pict>
      </w:r>
    </w:p>
    <w:p>
      <w:pPr>
        <w:pStyle w:val="FirstParagraph"/>
      </w:pPr>
      <w:r>
        <w:t xml:space="preserve">Confidential - Internal Use Only</w:t>
      </w:r>
    </w:p>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EcoSmart Widget X (gduzqktvmn)</dc:title>
  <dc:creator/>
  <dc:description>High-detail Product Carbon Footprint (PCF) analysis for EcoSmart Widget X (gduzqktvmn) by Innovate Global Corp (vvtzinpjtw), adhering to GHG Protocol and 2026 updates.</dc:description>
  <dc:language>en</dc:language>
  <cp:keywords/>
  <dcterms:created xsi:type="dcterms:W3CDTF">2026-05-30T14:54:29Z</dcterms:created>
  <dcterms:modified xsi:type="dcterms:W3CDTF">2026-05-30T14:54:29Z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