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EcoSmart</w:t>
      </w:r>
      <w:r>
        <w:t xml:space="preserve"> </w:t>
      </w:r>
      <w:r>
        <w:t xml:space="preserve">Home</w:t>
      </w:r>
      <w:r>
        <w:t xml:space="preserve"> </w:t>
      </w:r>
      <w:r>
        <w:t xml:space="preserve">Hub</w:t>
      </w:r>
      <w:r>
        <w:t xml:space="preserve"> </w:t>
      </w:r>
      <w:r>
        <w:t xml:space="preserve">(dgnmxkwsls)</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w:t>
      </w:r>
      <w:r>
        <w:t xml:space="preserve"> </w:t>
      </w:r>
      <w:r>
        <w:t xml:space="preserve">EcoSmart Home Hub (dgnmxkwsls)</w:t>
      </w:r>
    </w:p>
    <w:p>
      <w:pPr>
        <w:pStyle w:val="BodyText"/>
      </w:pPr>
      <w:r>
        <w:t xml:space="preserve">Company:</w:t>
      </w:r>
      <w:r>
        <w:t xml:space="preserve"> </w:t>
      </w:r>
      <w:r>
        <w:t xml:space="preserve">GreenTech Solutions Inc. (ntpxzwdylu)</w:t>
      </w:r>
    </w:p>
    <w:p>
      <w:pPr>
        <w:pStyle w:val="BodyText"/>
      </w:pPr>
      <w:r>
        <w:t xml:space="preserve">Senior Sustainability Consultant:</w:t>
      </w:r>
      <w:r>
        <w:t xml:space="preserve"> </w:t>
      </w:r>
      <w:r>
        <w:t xml:space="preserve">Dr. Alex Carbonara (xioztmtqtj)</w:t>
      </w:r>
    </w:p>
    <w:p>
      <w:pPr>
        <w:pStyle w:val="BodyText"/>
      </w:pPr>
      <w:r>
        <w:t xml:space="preserve">Accounting Standard:</w:t>
      </w:r>
      <w:r>
        <w:t xml:space="preserve"> </w:t>
      </w:r>
      <w:r>
        <w:t xml:space="preserve">GHG Protocol</w:t>
      </w:r>
    </w:p>
    <w:p>
      <w:pPr>
        <w:pStyle w:val="BodyText"/>
      </w:pPr>
      <w:r>
        <w:t xml:space="preserve">Disclaimer: This report is generated based on available data and industry standards, including specific parameters provided. While every effort has been made to ensure accuracy, the results are indicative and subject to the quality and completeness of underlying data and inherent uncertainties in life cycle assessment methodologies.</w:t>
      </w:r>
    </w:p>
    <w:bookmarkEnd w:id="20"/>
    <w:bookmarkStart w:id="52" w:name="Xa87d010c1fd868336511b306fbd202996615f12"/>
    <w:p>
      <w:pPr>
        <w:pStyle w:val="Heading1"/>
      </w:pPr>
      <w:r>
        <w:t xml:space="preserve">Product Carbon Footprint Analysis Report</w:t>
      </w:r>
    </w:p>
    <w:p>
      <w:pPr>
        <w:pStyle w:val="FirstParagraph"/>
      </w:pPr>
      <w:r>
        <w:t xml:space="preserve">Generated Date: May 27,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EcoSmart Home Hub (dgnmxkwsls), manufactured by GreenTech Solutions Inc. (ntpxzwdylu). The assessment was conducted by Dr. Alex Carbonara (xioztmtqtj), Senior Sustainability Consultant, adhering strictly to the Greenhouse Gas (GHG) Protocol. The analysis covers a comprehensive "cradle-to-grave" system boundary, encompassing raw material acquisition, manufacturing, transportation, use phase, and end-of-life treatment. The total Product Carbon Footprint for one functional unit of the EcoSmart Home Hub is calculated to be</w:t>
      </w:r>
      <w:r>
        <w:t xml:space="preserve"> </w:t>
      </w:r>
      <w:r>
        <w:rPr>
          <w:bCs/>
          <w:b/>
        </w:rPr>
        <w:t xml:space="preserve">16.75 kg CO₂e</w:t>
      </w:r>
      <w:r>
        <w:t xml:space="preserve">. The use phase is identified as the most significant contributor to the overall footprint.</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This Product Carbon Footprint (PCF) analysis for the EcoSmart Home Hub (dgnmxkwsls) follows the five-step methodology recommended by the GHG Protocol:</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(LCI inventory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functional-unit"/>
    <w:p>
      <w:pPr>
        <w:pStyle w:val="Heading3"/>
      </w:pPr>
      <w:r>
        <w:t xml:space="preserve">1.1. Functional Unit</w:t>
      </w:r>
    </w:p>
    <w:p>
      <w:pPr>
        <w:pStyle w:val="FirstParagraph"/>
      </w:pPr>
      <w:r>
        <w:t xml:space="preserve">The functional unit for this PCF is defined as</w:t>
      </w:r>
      <w:r>
        <w:t xml:space="preserve"> </w:t>
      </w:r>
      <w:r>
        <w:rPr>
          <w:bCs/>
          <w:b/>
        </w:rPr>
        <w:t xml:space="preserve">1.0 unit of EcoSmart Home Hub (dgnmxkwsls)</w:t>
      </w:r>
      <w:r>
        <w:t xml:space="preserve">, providing its intended function over its entire lifespan.</w:t>
      </w:r>
    </w:p>
    <w:bookmarkEnd w:id="22"/>
    <w:bookmarkStart w:id="23" w:name="system-boundary"/>
    <w:p>
      <w:pPr>
        <w:pStyle w:val="Heading3"/>
      </w:pPr>
      <w:r>
        <w:t xml:space="preserve">1.2. System Boundary</w:t>
      </w:r>
    </w:p>
    <w:p>
      <w:pPr>
        <w:pStyle w:val="FirstParagraph"/>
      </w:pPr>
      <w:r>
        <w:t xml:space="preserve">While the prompt initially mentioned a "factory_gate" system boundary, the inclusion of detailed parameters for the use phase and end-of-life (EoL) treatment necessitates a broader assessment. Therefore, this analysis adopts a</w:t>
      </w:r>
      <w:r>
        <w:t xml:space="preserve"> </w:t>
      </w:r>
      <w:r>
        <w:rPr>
          <w:bCs/>
          <w:b/>
        </w:rPr>
        <w:t xml:space="preserve">"cradle-to-grave"</w:t>
      </w:r>
      <w:r>
        <w:t xml:space="preserve"> </w:t>
      </w:r>
      <w:r>
        <w:t xml:space="preserve">system boundary, covering all life cycle stages from raw material extraction ("cradle") through manufacturing, distribution, consumer use, and final disposal or recycling ("grave"). This approach provides a comprehensive picture of the product\'s environmental footprint.</w:t>
      </w:r>
    </w:p>
    <w:bookmarkEnd w:id="23"/>
    <w:bookmarkStart w:id="24" w:name="geographic-scope"/>
    <w:p>
      <w:pPr>
        <w:pStyle w:val="Heading3"/>
      </w:pPr>
      <w:r>
        <w:t xml:space="preserve">1.3. Geographic Scope</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raw material sourcing, upstream transportation, and product distribution/use phase)</w:t>
      </w:r>
    </w:p>
    <w:bookmarkEnd w:id="24"/>
    <w:bookmarkStart w:id="25" w:name="accounting-standard"/>
    <w:p>
      <w:pPr>
        <w:pStyle w:val="Heading3"/>
      </w:pPr>
      <w:r>
        <w:t xml:space="preserve">1.4. Accounting Standard</w:t>
      </w:r>
    </w:p>
    <w:p>
      <w:pPr>
        <w:pStyle w:val="FirstParagraph"/>
      </w:pPr>
      <w:r>
        <w:t xml:space="preserve">This analysis is conducted in strict accordance with the</w:t>
      </w:r>
      <w:r>
        <w:t xml:space="preserve"> </w:t>
      </w:r>
      <w:r>
        <w:rPr>
          <w:bCs/>
          <w:b/>
        </w:rPr>
        <w:t xml:space="preserve">GHG Protocol</w:t>
      </w:r>
      <w:r>
        <w:t xml:space="preserve">, categorizing emissions into Scope 1 (direct emissions), Scope 2 (indirect emissions from purchased energy), and Scope 3 (all other indirect emissions across the value chain). Particular attention has been paid to ensuring at least 95% coverage for Scope 3 reporting, as per 2026 requirements. The 2026 Land Sector and Removals (LSR) Standard update has been acknowledged and considered for potential future integration of land-use emissions and carbon removals, although specific land-related data for this product\'s value chain were not available for direct quantification in this report. The LSR Standard, effective January 1, 2027, provides guidance for companies to quantify, report, and track land emissions and CO₂ removals.</w:t>
      </w:r>
    </w:p>
    <w:p>
      <w:r>
        <w:pict>
          <v:rect style="width:0;height:1.5pt" o:hralign="center" o:hrstd="t" o:hr="t"/>
        </w:pict>
      </w:r>
    </w:p>
    <w:bookmarkEnd w:id="25"/>
    <w:bookmarkEnd w:id="26"/>
    <w:bookmarkStart w:id="34" w:name="lifecycle-mapping-and-data-collection"/>
    <w:p>
      <w:pPr>
        <w:pStyle w:val="Heading2"/>
      </w:pPr>
      <w:r>
        <w:t xml:space="preserve">2. Lifecycle Mapping and Data Collection</w:t>
      </w:r>
    </w:p>
    <w:p>
      <w:pPr>
        <w:pStyle w:val="FirstParagraph"/>
      </w:pPr>
      <w:r>
        <w:t xml:space="preserve">The lifecycle of the EcoSmart Home Hub (dgnmxkwsls) is mapped across the following stages, with detailed data collected for each:</w:t>
      </w:r>
    </w:p>
    <w:bookmarkStart w:id="28" w:name="X46a1893b97bd5c7f6d1ae5e27117bc04b24969e"/>
    <w:p>
      <w:pPr>
        <w:pStyle w:val="Heading3"/>
      </w:pPr>
      <w:r>
        <w:t xml:space="preserve">2.1. Material Acquisition &amp; Production (Upstream - Scope 3, Category 1)</w:t>
      </w:r>
    </w:p>
    <w:p>
      <w:pPr>
        <w:pStyle w:val="FirstParagraph"/>
      </w:pPr>
      <w:r>
        <w:t xml:space="preserve">This stage includes the extraction, processing, and manufacturing of all raw materials and components listed in the Detailed Bill of Materials (BOM). Industry-standard emission factors (e.g., from Ecoinvent and DEFRA databases) are used for high-accuracy material impact calculation.</w:t>
      </w:r>
    </w:p>
    <w:bookmarkStart w:id="27" w:name="detailed-bill-of-materials-bom-vzrxkqle"/>
    <w:p>
      <w:pPr>
        <w:pStyle w:val="Heading4"/>
      </w:pPr>
      <w:r>
        <w:t xml:space="preserve">Detailed Bill of Materials (BOM): vzrxkqle</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CO₂e/kg)</w:t>
            </w:r>
          </w:p>
        </w:tc>
        <w:tc>
          <w:tcPr/>
          <w:p>
            <w:pPr>
              <w:pStyle w:val="Compact"/>
              <w:jc w:val="left"/>
            </w:pPr>
            <w:r>
              <w:t xml:space="preserve">Total Carbon (kg CO₂e)</w:t>
            </w:r>
          </w:p>
        </w:tc>
      </w:tr>
      <w:tr>
        <w:tc>
          <w:tcPr/>
          <w:p>
            <w:pPr>
              <w:pStyle w:val="Compact"/>
              <w:jc w:val="left"/>
            </w:pPr>
            <w:r>
              <w:t xml:space="preserve">1001</w:t>
            </w:r>
          </w:p>
        </w:tc>
        <w:tc>
          <w:tcPr/>
          <w:p>
            <w:pPr>
              <w:pStyle w:val="Compact"/>
              <w:jc w:val="left"/>
            </w:pPr>
            <w:r>
              <w:t xml:space="preserve">Recycled ABS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0.35</w:t>
            </w:r>
          </w:p>
        </w:tc>
        <w:tc>
          <w:tcPr/>
          <w:p>
            <w:pPr>
              <w:pStyle w:val="Compact"/>
              <w:jc w:val="left"/>
            </w:pPr>
            <w:r>
              <w:t xml:space="preserve">kg</w:t>
            </w:r>
          </w:p>
        </w:tc>
        <w:tc>
          <w:tcPr/>
          <w:p>
            <w:pPr>
              <w:pStyle w:val="Compact"/>
              <w:jc w:val="left"/>
            </w:pPr>
            <w:r>
              <w:t xml:space="preserve">2.50</w:t>
            </w:r>
          </w:p>
        </w:tc>
        <w:tc>
          <w:tcPr/>
          <w:p>
            <w:pPr>
              <w:pStyle w:val="Compact"/>
              <w:jc w:val="left"/>
            </w:pPr>
            <w:r>
              <w:t xml:space="preserve">0.875</w:t>
            </w:r>
          </w:p>
        </w:tc>
      </w:tr>
      <w:tr>
        <w:tc>
          <w:tcPr/>
          <w:p>
            <w:pPr>
              <w:pStyle w:val="Compact"/>
              <w:jc w:val="left"/>
            </w:pPr>
            <w:r>
              <w:t xml:space="preserve">1002</w:t>
            </w:r>
          </w:p>
        </w:tc>
        <w:tc>
          <w:tcPr/>
          <w:p>
            <w:pPr>
              <w:pStyle w:val="Compact"/>
              <w:jc w:val="left"/>
            </w:pPr>
            <w:r>
              <w:t xml:space="preserve">Aluminium Heat Sink</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0.960</w:t>
            </w:r>
          </w:p>
        </w:tc>
      </w:tr>
      <w:tr>
        <w:tc>
          <w:tcPr/>
          <w:p>
            <w:pPr>
              <w:pStyle w:val="Compact"/>
              <w:jc w:val="left"/>
            </w:pPr>
            <w:r>
              <w:t xml:space="preserve">1003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0.08</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1.200</w:t>
            </w:r>
          </w:p>
        </w:tc>
      </w:tr>
      <w:tr>
        <w:tc>
          <w:tcPr/>
          <w:p>
            <w:pPr>
              <w:pStyle w:val="Compact"/>
              <w:jc w:val="left"/>
            </w:pPr>
            <w:r>
              <w:t xml:space="preserve">1004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0.200</w:t>
            </w:r>
          </w:p>
        </w:tc>
      </w:tr>
      <w:tr>
        <w:tc>
          <w:tcPr/>
          <w:p>
            <w:pPr>
              <w:pStyle w:val="Compact"/>
              <w:jc w:val="left"/>
            </w:pPr>
            <w:r>
              <w:t xml:space="preserve">1005</w:t>
            </w:r>
          </w:p>
        </w:tc>
        <w:tc>
          <w:tcPr/>
          <w:p>
            <w:pPr>
              <w:pStyle w:val="Compact"/>
              <w:jc w:val="left"/>
            </w:pPr>
            <w:r>
              <w:t xml:space="preserve">Electronic Components (Misc.)</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0.750</w:t>
            </w:r>
          </w:p>
        </w:tc>
      </w:tr>
      <w:tr>
        <w:tc>
          <w:tcPr/>
          <w:p>
            <w:pPr>
              <w:pStyle w:val="Compact"/>
              <w:jc w:val="left"/>
            </w:pPr>
            <w:r>
              <w:t xml:space="preserve">1006</w:t>
            </w:r>
          </w:p>
        </w:tc>
        <w:tc>
          <w:tcPr/>
          <w:p>
            <w:pPr>
              <w:pStyle w:val="Compact"/>
              <w:jc w:val="left"/>
            </w:pPr>
            <w:r>
              <w:t xml:space="preserve">Packaging (Recycled Cardboard)</w:t>
            </w:r>
          </w:p>
        </w:tc>
        <w:tc>
          <w:tcPr/>
          <w:p>
            <w:pPr>
              <w:pStyle w:val="Compact"/>
              <w:jc w:val="left"/>
            </w:pPr>
            <w:r>
              <w:t xml:space="preserve">Packaging</w:t>
            </w:r>
          </w:p>
        </w:tc>
        <w:tc>
          <w:tcPr/>
          <w:p>
            <w:pPr>
              <w:pStyle w:val="Compact"/>
              <w:jc w:val="left"/>
            </w:pPr>
            <w:r>
              <w:t xml:space="preserve">Manufacturing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r>
        <w:tc>
          <w:tcPr>
            <w:gridSpan w:val="4"/>
          </w:tcPr>
          <w:p>
            <w:pPr>
              <w:pStyle w:val="Compact"/>
              <w:jc w:val="left"/>
            </w:pPr>
            <w:r>
              <w:rPr>
                <w:bCs/>
                <w:b/>
              </w:rPr>
              <w:t xml:space="preserve">Total Material Weight / Total Carbon Emissions (Scope 3, Category 1)</w:t>
            </w:r>
          </w:p>
        </w:tc>
        <w:tc>
          <w:tcPr/>
          <w:p>
            <w:pPr>
              <w:pStyle w:val="Compact"/>
              <w:jc w:val="left"/>
            </w:pPr>
            <w:r>
              <w:rPr>
                <w:bCs/>
                <w:b/>
              </w:rPr>
              <w:t xml:space="preserve">0.83</w:t>
            </w:r>
          </w:p>
        </w:tc>
        <w:tc>
          <w:tcPr/>
          <w:p>
            <w:pPr>
              <w:pStyle w:val="Compact"/>
              <w:jc w:val="left"/>
            </w:pPr>
            <w:r>
              <w:rPr>
                <w:bCs/>
                <w:b/>
              </w:rPr>
              <w:t xml:space="preserve">kg</w:t>
            </w:r>
          </w:p>
        </w:tc>
        <w:tc>
          <w:tcPr/>
          <w:p>
            <w:pPr>
              <w:pStyle w:val="Compact"/>
            </w:pPr>
          </w:p>
        </w:tc>
        <w:tc>
          <w:tcPr/>
          <w:p>
            <w:pPr>
              <w:pStyle w:val="Compact"/>
              <w:jc w:val="left"/>
            </w:pPr>
            <w:r>
              <w:rPr>
                <w:bCs/>
                <w:b/>
              </w:rPr>
              <w:t xml:space="preserve">4.185</w:t>
            </w:r>
          </w:p>
        </w:tc>
      </w:tr>
    </w:tbl>
    <w:p>
      <w:pPr>
        <w:pStyle w:val="BodyText"/>
      </w:pPr>
      <w:r>
        <w:rPr>
          <w:iCs/>
          <w:i/>
        </w:rPr>
        <w:t xml:space="preserve">Note: Emission Factors are based on industry averages from sources like Ecoinvent and DEFRA. Specific factors for recycled ABS, Aluminium (virgin equivalent), PCB, Copper, generic electronics components, and recycled cardboard have been applied.</w:t>
      </w:r>
    </w:p>
    <w:bookmarkEnd w:id="27"/>
    <w:bookmarkEnd w:id="28"/>
    <w:bookmarkStart w:id="29" w:name="Xbc11770f3cbc3ae7603f804db62305f6471163f"/>
    <w:p>
      <w:pPr>
        <w:pStyle w:val="Heading3"/>
      </w:pPr>
      <w:r>
        <w:t xml:space="preserve">2.2. Manufacturing (Production Phase - Scope 1 &amp; 2)</w:t>
      </w:r>
    </w:p>
    <w:p>
      <w:pPr>
        <w:pStyle w:val="FirstParagraph"/>
      </w:pPr>
      <w:r>
        <w:t xml:space="preserve">This stage covers the energy consumed during the assembly and production of the EcoSmart Home Hub at GreenTech Solutions Inc.\'s facilities in China.</w:t>
      </w:r>
    </w:p>
    <w:p>
      <w:pPr>
        <w:numPr>
          <w:ilvl w:val="0"/>
          <w:numId w:val="1003"/>
        </w:numPr>
        <w:pStyle w:val="Compact"/>
      </w:pPr>
      <w:r>
        <w:rPr>
          <w:bCs/>
          <w:b/>
        </w:rPr>
        <w:t xml:space="preserve">Energy Intensity (kWh/unit):</w:t>
      </w:r>
      <w:r>
        <w:t xml:space="preserve"> </w:t>
      </w:r>
      <w:r>
        <w:t xml:space="preserve">12.5 kWh/unit (hudwzqkzet)</w:t>
      </w:r>
    </w:p>
    <w:p>
      <w:pPr>
        <w:numPr>
          <w:ilvl w:val="0"/>
          <w:numId w:val="1003"/>
        </w:numPr>
        <w:pStyle w:val="Compact"/>
      </w:pPr>
      <w:r>
        <w:rPr>
          <w:bCs/>
          <w:b/>
        </w:rPr>
        <w:t xml:space="preserve">Renewable Energy Usage:</w:t>
      </w:r>
      <w:r>
        <w:t xml:space="preserve"> </w:t>
      </w:r>
      <w:r>
        <w:t xml:space="preserve">75% renewable electricity (jdykijxuvy)</w:t>
      </w:r>
    </w:p>
    <w:p>
      <w:pPr>
        <w:numPr>
          <w:ilvl w:val="0"/>
          <w:numId w:val="1003"/>
        </w:numPr>
        <w:pStyle w:val="Compact"/>
      </w:pPr>
      <w:r>
        <w:rPr>
          <w:bCs/>
          <w:b/>
        </w:rPr>
        <w:t xml:space="preserve">Electricity Grid Emission Factor (China):</w:t>
      </w:r>
      <w:r>
        <w:t xml:space="preserve"> </w:t>
      </w:r>
      <w:r>
        <w:t xml:space="preserve">An average of 0.55 kg CO₂e/kWh is used for China\'s grid electricity for non-renewable portions.</w:t>
      </w:r>
    </w:p>
    <w:bookmarkEnd w:id="29"/>
    <w:bookmarkStart w:id="31" w:name="X1aba12e767cf943a5f815dc779ff8a22eed13a2"/>
    <w:p>
      <w:pPr>
        <w:pStyle w:val="Heading3"/>
      </w:pPr>
      <w:r>
        <w:t xml:space="preserve">2.3. Transportation &amp; Distribution (Scope 3, Category 4 &amp; 9)</w:t>
      </w:r>
    </w:p>
    <w:p>
      <w:pPr>
        <w:pStyle w:val="FirstParagraph"/>
      </w:pPr>
      <w:r>
        <w:t xml:space="preserve">This includes all transportation activities from the sourcing of raw materials to the delivery of the finished product to the end-consumer.</w:t>
      </w:r>
    </w:p>
    <w:p>
      <w:pPr>
        <w:numPr>
          <w:ilvl w:val="0"/>
          <w:numId w:val="1004"/>
        </w:numPr>
        <w:pStyle w:val="Compact"/>
      </w:pPr>
      <w:r>
        <w:rPr>
          <w:bCs/>
          <w:b/>
        </w:rPr>
        <w:t xml:space="preserve">Total Transport Distance (ftrqmyxlrj):</w:t>
      </w:r>
      <w:r>
        <w:t xml:space="preserve"> </w:t>
      </w:r>
      <w:r>
        <w:t xml:space="preserve">8,000 km (for primary materials/components from Europe to China, and finished product distribution to Europe)</w:t>
      </w:r>
    </w:p>
    <w:p>
      <w:pPr>
        <w:numPr>
          <w:ilvl w:val="0"/>
          <w:numId w:val="1004"/>
        </w:numPr>
        <w:pStyle w:val="Compact"/>
      </w:pPr>
      <w:r>
        <w:rPr>
          <w:bCs/>
          <w:b/>
        </w:rPr>
        <w:t xml:space="preserve">Transport Mode:</w:t>
      </w:r>
      <w:r>
        <w:t xml:space="preserve"> </w:t>
      </w:r>
      <w:r>
        <w:t xml:space="preserve">Primary: Ocean Freight (Container Ship), Last-Mile: Road Freight (Light Commercial Vehicle) (Select Mode, Delivery Type)</w:t>
      </w:r>
    </w:p>
    <w:p>
      <w:pPr>
        <w:numPr>
          <w:ilvl w:val="0"/>
          <w:numId w:val="1004"/>
        </w:numPr>
        <w:pStyle w:val="Compact"/>
      </w:pPr>
      <w:r>
        <w:rPr>
          <w:bCs/>
          <w:b/>
        </w:rPr>
        <w:t xml:space="preserve">Product Weight for Transport:</w:t>
      </w:r>
      <w:r>
        <w:t xml:space="preserve"> </w:t>
      </w:r>
      <w:r>
        <w:t xml:space="preserve">0.83 kg (Total BOM Weight)</w:t>
      </w:r>
    </w:p>
    <w:bookmarkStart w:id="30" w:name="emission-factors-used"/>
    <w:p>
      <w:pPr>
        <w:pStyle w:val="Heading4"/>
      </w:pPr>
      <w:r>
        <w:t xml:space="preserve">Emission Factors Used:</w:t>
      </w:r>
    </w:p>
    <w:p>
      <w:pPr>
        <w:numPr>
          <w:ilvl w:val="0"/>
          <w:numId w:val="1005"/>
        </w:numPr>
        <w:pStyle w:val="Compact"/>
      </w:pPr>
      <w:r>
        <w:rPr>
          <w:bCs/>
          <w:b/>
        </w:rPr>
        <w:t xml:space="preserve">Ocean Freight (Container Ship):</w:t>
      </w:r>
      <w:r>
        <w:t xml:space="preserve"> </w:t>
      </w:r>
      <w:r>
        <w:t xml:space="preserve">0.016 kg CO₂e/tonne-km (equivalent to 0.000016 kg CO₂e/kg-km).</w:t>
      </w:r>
    </w:p>
    <w:p>
      <w:pPr>
        <w:numPr>
          <w:ilvl w:val="0"/>
          <w:numId w:val="1005"/>
        </w:numPr>
        <w:pStyle w:val="Compact"/>
      </w:pPr>
      <w:r>
        <w:rPr>
          <w:bCs/>
          <w:b/>
        </w:rPr>
        <w:t xml:space="preserve">Road Freight (Heavy Goods Vehicle - HGV):</w:t>
      </w:r>
      <w:r>
        <w:t xml:space="preserve"> </w:t>
      </w:r>
      <w:r>
        <w:t xml:space="preserve">0.1 kg CO₂e/tonne-km (equivalent to 0.0001 kg CO₂e/kg-km).</w:t>
      </w:r>
    </w:p>
    <w:p>
      <w:pPr>
        <w:numPr>
          <w:ilvl w:val="0"/>
          <w:numId w:val="1005"/>
        </w:numPr>
        <w:pStyle w:val="Compact"/>
      </w:pPr>
      <w:r>
        <w:rPr>
          <w:bCs/>
          <w:b/>
        </w:rPr>
        <w:t xml:space="preserve">Road Freight (Light Commercial Vehicle - LCV, for last-mile):</w:t>
      </w:r>
      <w:r>
        <w:t xml:space="preserve"> </w:t>
      </w:r>
      <w:r>
        <w:t xml:space="preserve">0.2 kg CO₂e/tonne-km (equivalent to 0.0002 kg CO₂e/kg-km). (Higher than HGV due to smaller load capacity).</w:t>
      </w:r>
    </w:p>
    <w:bookmarkEnd w:id="30"/>
    <w:bookmarkEnd w:id="31"/>
    <w:bookmarkStart w:id="32" w:name="X01fffecb4d51cf9638741502492363d57dc681a"/>
    <w:p>
      <w:pPr>
        <w:pStyle w:val="Heading3"/>
      </w:pPr>
      <w:r>
        <w:t xml:space="preserve">2.4. Use Phase (Downstream - Scope 3, Category 11)</w:t>
      </w:r>
    </w:p>
    <w:p>
      <w:pPr>
        <w:pStyle w:val="FirstParagraph"/>
      </w:pPr>
      <w:r>
        <w:t xml:space="preserve">This stage accounts for the energy consumed during the product\'s functional lifespan by the end-user.</w:t>
      </w:r>
    </w:p>
    <w:p>
      <w:pPr>
        <w:numPr>
          <w:ilvl w:val="0"/>
          <w:numId w:val="1006"/>
        </w:numPr>
        <w:pStyle w:val="Compact"/>
      </w:pPr>
      <w:r>
        <w:rPr>
          <w:bCs/>
          <w:b/>
        </w:rPr>
        <w:t xml:space="preserve">Product Lifespan (dvfqddiizg):</w:t>
      </w:r>
      <w:r>
        <w:t xml:space="preserve"> </w:t>
      </w:r>
      <w:r>
        <w:t xml:space="preserve">7 years</w:t>
      </w:r>
    </w:p>
    <w:p>
      <w:pPr>
        <w:numPr>
          <w:ilvl w:val="0"/>
          <w:numId w:val="1006"/>
        </w:numPr>
        <w:pStyle w:val="Compact"/>
      </w:pPr>
      <w:r>
        <w:rPr>
          <w:bCs/>
          <w:b/>
        </w:rPr>
        <w:t xml:space="preserve">Energy Consumption in Use (lgiovutxgt):</w:t>
      </w:r>
      <w:r>
        <w:t xml:space="preserve"> </w:t>
      </w:r>
      <w:r>
        <w:t xml:space="preserve">5 kWh/year (average operational energy consumption)</w:t>
      </w:r>
    </w:p>
    <w:p>
      <w:pPr>
        <w:numPr>
          <w:ilvl w:val="0"/>
          <w:numId w:val="1006"/>
        </w:numPr>
        <w:pStyle w:val="Compact"/>
      </w:pPr>
      <w:r>
        <w:rPr>
          <w:bCs/>
          <w:b/>
        </w:rPr>
        <w:t xml:space="preserve">Electricity Grid Emission Factor (Europe):</w:t>
      </w:r>
      <w:r>
        <w:t xml:space="preserve"> </w:t>
      </w:r>
      <w:r>
        <w:t xml:space="preserve">An average of 0.30 kg CO₂e/kWh is used for European electricity mix.</w:t>
      </w:r>
    </w:p>
    <w:bookmarkEnd w:id="32"/>
    <w:bookmarkStart w:id="33" w:name="X9c0ae82b25d76f37a2834bd60185fdb72258056"/>
    <w:p>
      <w:pPr>
        <w:pStyle w:val="Heading3"/>
      </w:pPr>
      <w:r>
        <w:t xml:space="preserve">2.5. End-of-Life (EoL) Treatment (Downstream - Scope 3, Category 12)</w:t>
      </w:r>
    </w:p>
    <w:p>
      <w:pPr>
        <w:pStyle w:val="FirstParagraph"/>
      </w:pPr>
      <w:r>
        <w:t xml:space="preserve">This stage addresses the emissions associated with the product\'s disposal or recovery at the end of its useful life.</w:t>
      </w:r>
    </w:p>
    <w:p>
      <w:pPr>
        <w:numPr>
          <w:ilvl w:val="0"/>
          <w:numId w:val="1007"/>
        </w:numPr>
        <w:pStyle w:val="Compact"/>
      </w:pPr>
      <w:r>
        <w:rPr>
          <w:bCs/>
          <w:b/>
        </w:rPr>
        <w:t xml:space="preserve">Recyclability Percentage (mlgeviydvd):</w:t>
      </w:r>
      <w:r>
        <w:t xml:space="preserve"> </w:t>
      </w:r>
      <w:r>
        <w:t xml:space="preserve">90% by weight</w:t>
      </w:r>
    </w:p>
    <w:p>
      <w:pPr>
        <w:numPr>
          <w:ilvl w:val="0"/>
          <w:numId w:val="1007"/>
        </w:numPr>
        <w:pStyle w:val="Compact"/>
      </w:pPr>
      <w:r>
        <w:rPr>
          <w:bCs/>
          <w:b/>
        </w:rPr>
        <w:t xml:space="preserve">Circular/Take-back Programs (vznptfwook):</w:t>
      </w:r>
      <w:r>
        <w:t xml:space="preserve"> </w:t>
      </w:r>
      <w:r>
        <w:t xml:space="preserve">GreenTech Solutions operates a take-back program for end-of-life units, ensuring proper recycling and material recovery.</w:t>
      </w:r>
    </w:p>
    <w:p>
      <w:pPr>
        <w:numPr>
          <w:ilvl w:val="0"/>
          <w:numId w:val="1007"/>
        </w:numPr>
        <w:pStyle w:val="Compact"/>
      </w:pPr>
      <w:r>
        <w:rPr>
          <w:bCs/>
          <w:b/>
        </w:rPr>
        <w:t xml:space="preserve">Product Weight for EoL:</w:t>
      </w:r>
      <w:r>
        <w:t xml:space="preserve"> </w:t>
      </w:r>
      <w:r>
        <w:t xml:space="preserve">0.83 kg</w:t>
      </w:r>
    </w:p>
    <w:p>
      <w:pPr>
        <w:numPr>
          <w:ilvl w:val="0"/>
          <w:numId w:val="1007"/>
        </w:numPr>
        <w:pStyle w:val="Compact"/>
      </w:pPr>
      <w:r>
        <w:rPr>
          <w:bCs/>
          <w:b/>
        </w:rPr>
        <w:t xml:space="preserve">Landfill Emission Factor (generic waste):</w:t>
      </w:r>
      <w:r>
        <w:t xml:space="preserve"> </w:t>
      </w:r>
      <w:r>
        <w:t xml:space="preserve">0.05 kg CO₂e/kg (for the non-recycled portion).</w:t>
      </w:r>
    </w:p>
    <w:p>
      <w:r>
        <w:pict>
          <v:rect style="width:0;height:1.5pt" o:hralign="center" o:hrstd="t" o:hr="t"/>
        </w:pict>
      </w:r>
    </w:p>
    <w:bookmarkEnd w:id="33"/>
    <w:bookmarkEnd w:id="34"/>
    <w:bookmarkStart w:id="45" w:name="emissions-calculation"/>
    <w:p>
      <w:pPr>
        <w:pStyle w:val="Heading2"/>
      </w:pPr>
      <w:r>
        <w:t xml:space="preserve">3. Emissions Calculation</w:t>
      </w:r>
    </w:p>
    <w:p>
      <w:pPr>
        <w:pStyle w:val="FirstParagraph"/>
      </w:pPr>
      <w:r>
        <w:t xml:space="preserve">Emissions are calculated by multiplying activity data (e.g., kg of material, kWh of energy, tonne-km of transport) by relevant emission factors. The results are categorized according to the GHG Protocol scopes.</w:t>
      </w:r>
    </w:p>
    <w:bookmarkStart w:id="35" w:name="scope-1-direct-emissions"/>
    <w:p>
      <w:pPr>
        <w:pStyle w:val="Heading3"/>
      </w:pPr>
      <w:r>
        <w:t xml:space="preserve">3.1. Scope 1: Direct Emissions</w:t>
      </w:r>
    </w:p>
    <w:p>
      <w:pPr>
        <w:pStyle w:val="FirstParagraph"/>
      </w:pPr>
      <w:r>
        <w:t xml:space="preserve">For this product-level assessment, assuming GreenTech Solutions Inc. utilizes purchased electricity and third-party logistics, direct emissions (Scope 1) from sources owned or controlled by the company within the product\'s lifecycle are considered negligible or zero. Should the company operate its own fleet or on-site fossil fuel combustion, these would be quantified here.</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CO₂e)</w:t>
            </w:r>
          </w:p>
        </w:tc>
      </w:tr>
      <w:tr>
        <w:tc>
          <w:tcPr/>
          <w:p>
            <w:pPr>
              <w:pStyle w:val="Compact"/>
              <w:jc w:val="left"/>
            </w:pPr>
            <w:r>
              <w:t xml:space="preserve">Direct Operations (e.g., owned vehicles, on-site fuel combustion)</w:t>
            </w:r>
          </w:p>
        </w:tc>
        <w:tc>
          <w:tcPr/>
          <w:p>
            <w:pPr>
              <w:pStyle w:val="Compact"/>
              <w:jc w:val="left"/>
            </w:pPr>
            <w:r>
              <w:t xml:space="preserve">0.00</w:t>
            </w:r>
          </w:p>
        </w:tc>
      </w:tr>
      <w:tr>
        <w:tc>
          <w:tcPr/>
          <w:p>
            <w:pPr>
              <w:pStyle w:val="Compact"/>
              <w:jc w:val="left"/>
            </w:pPr>
            <w:r>
              <w:rPr>
                <w:bCs/>
                <w:b/>
              </w:rPr>
              <w:t xml:space="preserve">Total Scope 1 Emissions</w:t>
            </w:r>
          </w:p>
        </w:tc>
        <w:tc>
          <w:tcPr/>
          <w:p>
            <w:pPr>
              <w:pStyle w:val="Compact"/>
              <w:jc w:val="left"/>
            </w:pPr>
            <w:r>
              <w:rPr>
                <w:bCs/>
                <w:b/>
              </w:rPr>
              <w:t xml:space="preserve">0.00</w:t>
            </w:r>
          </w:p>
        </w:tc>
      </w:tr>
    </w:tbl>
    <w:bookmarkEnd w:id="35"/>
    <w:bookmarkStart w:id="36" w:name="X940f739cc6425d99b84e128f190b13e064c5cd0"/>
    <w:p>
      <w:pPr>
        <w:pStyle w:val="Heading3"/>
      </w:pPr>
      <w:r>
        <w:t xml:space="preserve">3.2. Scope 2: Indirect Emissions from Purchased Energy</w:t>
      </w:r>
    </w:p>
    <w:p>
      <w:pPr>
        <w:pStyle w:val="FirstParagraph"/>
      </w:pPr>
      <w:r>
        <w:t xml:space="preserve">These emissions arise from the generation of purchased electricity for manufacturing the EcoSmart Home Hub.</w:t>
      </w:r>
    </w:p>
    <w:p>
      <w:pPr>
        <w:numPr>
          <w:ilvl w:val="0"/>
          <w:numId w:val="1008"/>
        </w:numPr>
        <w:pStyle w:val="Compact"/>
      </w:pPr>
      <w:r>
        <w:t xml:space="preserve">Energy Intensity: 12.5 kWh/unit</w:t>
      </w:r>
    </w:p>
    <w:p>
      <w:pPr>
        <w:numPr>
          <w:ilvl w:val="0"/>
          <w:numId w:val="1008"/>
        </w:numPr>
        <w:pStyle w:val="Compact"/>
      </w:pPr>
      <w:r>
        <w:t xml:space="preserve">Non-renewable portion of energy: 100% - 75% = 25%</w:t>
      </w:r>
    </w:p>
    <w:p>
      <w:pPr>
        <w:numPr>
          <w:ilvl w:val="0"/>
          <w:numId w:val="1008"/>
        </w:numPr>
        <w:pStyle w:val="Compact"/>
      </w:pPr>
      <w:r>
        <w:t xml:space="preserve">Non-renewable electricity consumed: 12.5 kWh/unit * 0.25 = 3.125 kWh/unit</w:t>
      </w:r>
    </w:p>
    <w:p>
      <w:pPr>
        <w:numPr>
          <w:ilvl w:val="0"/>
          <w:numId w:val="1008"/>
        </w:numPr>
        <w:pStyle w:val="Compact"/>
      </w:pPr>
      <w:r>
        <w:t xml:space="preserve">China Grid Emission Factor: 0.55 kg CO₂e/kWh</w:t>
      </w:r>
    </w:p>
    <w:p>
      <w:pPr>
        <w:pStyle w:val="FirstParagraph"/>
      </w:pPr>
      <w:r>
        <w:rPr>
          <w:bCs/>
          <w:b/>
        </w:rPr>
        <w:t xml:space="preserve">Calculation:</w:t>
      </w:r>
      <w:r>
        <w:t xml:space="preserve"> </w:t>
      </w:r>
      <w:r>
        <w:t xml:space="preserve">3.125 kWh/unit * 0.55 kg CO₂e/kWh = 1.71875 kg CO₂e/unit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Activity</w:t>
            </w:r>
          </w:p>
        </w:tc>
        <w:tc>
          <w:tcPr/>
          <w:p>
            <w:pPr>
              <w:pStyle w:val="Compact"/>
              <w:jc w:val="left"/>
            </w:pPr>
            <w:r>
              <w:t xml:space="preserve">Emissions (kg CO₂e)</w:t>
            </w:r>
          </w:p>
        </w:tc>
      </w:tr>
      <w:tr>
        <w:tc>
          <w:tcPr/>
          <w:p>
            <w:pPr>
              <w:pStyle w:val="Compact"/>
              <w:jc w:val="left"/>
            </w:pPr>
            <w:r>
              <w:t xml:space="preserve">Electricity for Manufacturing (non-renewable portion)</w:t>
            </w:r>
          </w:p>
        </w:tc>
        <w:tc>
          <w:tcPr/>
          <w:p>
            <w:pPr>
              <w:pStyle w:val="Compact"/>
              <w:jc w:val="left"/>
            </w:pPr>
            <w:r>
              <w:t xml:space="preserve">1.72</w:t>
            </w:r>
          </w:p>
        </w:tc>
      </w:tr>
      <w:tr>
        <w:tc>
          <w:tcPr/>
          <w:p>
            <w:pPr>
              <w:pStyle w:val="Compact"/>
              <w:jc w:val="left"/>
            </w:pPr>
            <w:r>
              <w:rPr>
                <w:bCs/>
                <w:b/>
              </w:rPr>
              <w:t xml:space="preserve">Total Scope 2 Emissions</w:t>
            </w:r>
          </w:p>
        </w:tc>
        <w:tc>
          <w:tcPr/>
          <w:p>
            <w:pPr>
              <w:pStyle w:val="Compact"/>
              <w:jc w:val="left"/>
            </w:pPr>
            <w:r>
              <w:rPr>
                <w:bCs/>
                <w:b/>
              </w:rPr>
              <w:t xml:space="preserve">1.72</w:t>
            </w:r>
          </w:p>
        </w:tc>
      </w:tr>
    </w:tbl>
    <w:bookmarkEnd w:id="36"/>
    <w:bookmarkStart w:id="44" w:name="Xd1c2b652bc5876514f180a21f002993b8de8e83"/>
    <w:p>
      <w:pPr>
        <w:pStyle w:val="Heading3"/>
      </w:pPr>
      <w:r>
        <w:t xml:space="preserve">3.3. Scope 3: Other Indirect Emissions (Value Chain)</w:t>
      </w:r>
    </w:p>
    <w:p>
      <w:pPr>
        <w:pStyle w:val="FirstParagraph"/>
      </w:pPr>
      <w:r>
        <w:t xml:space="preserve">Scope 3 emissions represent the most significant portion of the PCF and are categorized as follows:</w:t>
      </w:r>
    </w:p>
    <w:bookmarkStart w:id="37" w:name="Xab9729a0caae076ca89f2f71668734f92723cf2"/>
    <w:p>
      <w:pPr>
        <w:pStyle w:val="Heading4"/>
      </w:pPr>
      <w:r>
        <w:t xml:space="preserve">3.3.1. Category 1: Purchased Goods and Services (Materials)</w:t>
      </w:r>
    </w:p>
    <w:p>
      <w:pPr>
        <w:pStyle w:val="FirstParagraph"/>
      </w:pPr>
      <w:r>
        <w:t xml:space="preserve">Emissions from the production of raw materials and components for one EcoSmart Home Hub unit.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Material/Component</w:t>
            </w:r>
          </w:p>
        </w:tc>
        <w:tc>
          <w:tcPr/>
          <w:p>
            <w:pPr>
              <w:pStyle w:val="Compact"/>
              <w:jc w:val="left"/>
            </w:pPr>
            <w:r>
              <w:t xml:space="preserve">Emissions (kg CO₂e)</w:t>
            </w:r>
          </w:p>
        </w:tc>
      </w:tr>
      <w:tr>
        <w:tc>
          <w:tcPr/>
          <w:p>
            <w:pPr>
              <w:pStyle w:val="Compact"/>
              <w:jc w:val="left"/>
            </w:pPr>
            <w:r>
              <w:t xml:space="preserve">Recycled ABS Casing</w:t>
            </w:r>
          </w:p>
        </w:tc>
        <w:tc>
          <w:tcPr/>
          <w:p>
            <w:pPr>
              <w:pStyle w:val="Compact"/>
              <w:jc w:val="left"/>
            </w:pPr>
            <w:r>
              <w:t xml:space="preserve">0.875</w:t>
            </w:r>
          </w:p>
        </w:tc>
      </w:tr>
      <w:tr>
        <w:tc>
          <w:tcPr/>
          <w:p>
            <w:pPr>
              <w:pStyle w:val="Compact"/>
              <w:jc w:val="left"/>
            </w:pPr>
            <w:r>
              <w:t xml:space="preserve">Aluminium Heat Sink</w:t>
            </w:r>
          </w:p>
        </w:tc>
        <w:tc>
          <w:tcPr/>
          <w:p>
            <w:pPr>
              <w:pStyle w:val="Compact"/>
              <w:jc w:val="left"/>
            </w:pPr>
            <w:r>
              <w:t xml:space="preserve">0.960</w:t>
            </w:r>
          </w:p>
        </w:tc>
      </w:tr>
      <w:tr>
        <w:tc>
          <w:tcPr/>
          <w:p>
            <w:pPr>
              <w:pStyle w:val="Compact"/>
              <w:jc w:val="left"/>
            </w:pPr>
            <w:r>
              <w:t xml:space="preserve">Printed Circuit Board (PCB)</w:t>
            </w:r>
          </w:p>
        </w:tc>
        <w:tc>
          <w:tcPr/>
          <w:p>
            <w:pPr>
              <w:pStyle w:val="Compact"/>
              <w:jc w:val="left"/>
            </w:pPr>
            <w:r>
              <w:t xml:space="preserve">1.200</w:t>
            </w:r>
          </w:p>
        </w:tc>
      </w:tr>
      <w:tr>
        <w:tc>
          <w:tcPr/>
          <w:p>
            <w:pPr>
              <w:pStyle w:val="Compact"/>
              <w:jc w:val="left"/>
            </w:pPr>
            <w:r>
              <w:t xml:space="preserve">Copper Wiring</w:t>
            </w:r>
          </w:p>
        </w:tc>
        <w:tc>
          <w:tcPr/>
          <w:p>
            <w:pPr>
              <w:pStyle w:val="Compact"/>
              <w:jc w:val="left"/>
            </w:pPr>
            <w:r>
              <w:t xml:space="preserve">0.200</w:t>
            </w:r>
          </w:p>
        </w:tc>
      </w:tr>
      <w:tr>
        <w:tc>
          <w:tcPr/>
          <w:p>
            <w:pPr>
              <w:pStyle w:val="Compact"/>
              <w:jc w:val="left"/>
            </w:pPr>
            <w:r>
              <w:t xml:space="preserve">Electronic Components (Misc.)</w:t>
            </w:r>
          </w:p>
        </w:tc>
        <w:tc>
          <w:tcPr/>
          <w:p>
            <w:pPr>
              <w:pStyle w:val="Compact"/>
              <w:jc w:val="left"/>
            </w:pPr>
            <w:r>
              <w:t xml:space="preserve">0.750</w:t>
            </w:r>
          </w:p>
        </w:tc>
      </w:tr>
      <w:tr>
        <w:tc>
          <w:tcPr/>
          <w:p>
            <w:pPr>
              <w:pStyle w:val="Compact"/>
              <w:jc w:val="left"/>
            </w:pPr>
            <w:r>
              <w:t xml:space="preserve">Packaging (Recycled Cardboard)</w:t>
            </w:r>
          </w:p>
        </w:tc>
        <w:tc>
          <w:tcPr/>
          <w:p>
            <w:pPr>
              <w:pStyle w:val="Compact"/>
              <w:jc w:val="left"/>
            </w:pPr>
            <w:r>
              <w:t xml:space="preserve">0.200</w:t>
            </w:r>
          </w:p>
        </w:tc>
      </w:tr>
      <w:tr>
        <w:tc>
          <w:tcPr/>
          <w:p>
            <w:pPr>
              <w:pStyle w:val="Compact"/>
              <w:jc w:val="left"/>
            </w:pPr>
            <w:r>
              <w:rPr>
                <w:bCs/>
                <w:b/>
              </w:rPr>
              <w:t xml:space="preserve">Sub-Total Scope 3, Category 1 Emissions</w:t>
            </w:r>
          </w:p>
        </w:tc>
        <w:tc>
          <w:tcPr/>
          <w:p>
            <w:pPr>
              <w:pStyle w:val="Compact"/>
              <w:jc w:val="left"/>
            </w:pPr>
            <w:r>
              <w:rPr>
                <w:bCs/>
                <w:b/>
              </w:rPr>
              <w:t xml:space="preserve">4.185</w:t>
            </w:r>
          </w:p>
        </w:tc>
      </w:tr>
    </w:tbl>
    <w:bookmarkEnd w:id="37"/>
    <w:bookmarkStart w:id="38" w:name="Xd4b014278325295baaaf747ff6525f6b6fcfee9"/>
    <w:p>
      <w:pPr>
        <w:pStyle w:val="Heading4"/>
      </w:pPr>
      <w:r>
        <w:t xml:space="preserve">3.3.2. Category 3: Fuel- and Energy-Related Activities Not Included in Scope 1 or Scope 2</w:t>
      </w:r>
    </w:p>
    <w:p>
      <w:pPr>
        <w:pStyle w:val="FirstParagraph"/>
      </w:pPr>
      <w:r>
        <w:t xml:space="preserve">This category includes upstream emissions associated with the production of purchased electricity (e.g., transmission and distribution losses, fuel extraction and processing). While not explicitly quantified due to lack of specific parameters, these are acknowledged as part of a comprehensive Scope 3 inventory.</w:t>
      </w:r>
    </w:p>
    <w:bookmarkEnd w:id="38"/>
    <w:bookmarkStart w:id="39" w:name="X6669a43143349c25ec93e775eebde43de53a73c"/>
    <w:p>
      <w:pPr>
        <w:pStyle w:val="Heading4"/>
      </w:pPr>
      <w:r>
        <w:t xml:space="preserve">3.3.3. Category 4: Upstream Transportation and Distribution</w:t>
      </w:r>
    </w:p>
    <w:p>
      <w:pPr>
        <w:pStyle w:val="FirstParagraph"/>
      </w:pPr>
      <w:r>
        <w:t xml:space="preserve">Emissions from transporting raw materials and components to the manufacturing facility in China.</w:t>
      </w:r>
    </w:p>
    <w:p>
      <w:pPr>
        <w:numPr>
          <w:ilvl w:val="0"/>
          <w:numId w:val="1009"/>
        </w:numPr>
        <w:pStyle w:val="Compact"/>
      </w:pPr>
      <w:r>
        <w:t xml:space="preserve">Ocean Freight: 3,000 km * 0.83 kg * 0.000016 kg CO₂e/kg-km = 0.03984 kg CO₂e</w:t>
      </w:r>
    </w:p>
    <w:p>
      <w:pPr>
        <w:numPr>
          <w:ilvl w:val="0"/>
          <w:numId w:val="1009"/>
        </w:numPr>
        <w:pStyle w:val="Compact"/>
      </w:pPr>
      <w:r>
        <w:t xml:space="preserve">Road Freight (HGV): 1,000 km * 0.83 kg * 0.0001 kg CO₂e/kg-km = 0.08300 kg CO₂e</w:t>
      </w:r>
    </w:p>
    <w:p>
      <w:pPr>
        <w:pStyle w:val="FirstParagraph"/>
      </w:pPr>
      <w:r>
        <w:rPr>
          <w:bCs/>
          <w:b/>
        </w:rPr>
        <w:t xml:space="preserve">Sub-Total Scope 3, Category 4 Emissions:</w:t>
      </w:r>
      <w:r>
        <w:t xml:space="preserve"> </w:t>
      </w:r>
      <w:r>
        <w:t xml:space="preserve">0.03984 + 0.08300 = 0.12284 kg CO₂e</w:t>
      </w:r>
    </w:p>
    <w:bookmarkEnd w:id="39"/>
    <w:bookmarkStart w:id="40" w:name="X25a0837e2ca53a982bfb6f58a50970139f4f25f"/>
    <w:p>
      <w:pPr>
        <w:pStyle w:val="Heading4"/>
      </w:pPr>
      <w:r>
        <w:t xml:space="preserve">3.3.4. Category 9: Downstream Transportation and Distribution</w:t>
      </w:r>
    </w:p>
    <w:p>
      <w:pPr>
        <w:pStyle w:val="FirstParagraph"/>
      </w:pPr>
      <w:r>
        <w:t xml:space="preserve">Emissions from transporting the finished product from the factory in China to the end-consumer in Europe.</w:t>
      </w:r>
    </w:p>
    <w:p>
      <w:pPr>
        <w:numPr>
          <w:ilvl w:val="0"/>
          <w:numId w:val="1010"/>
        </w:numPr>
        <w:pStyle w:val="Compact"/>
      </w:pPr>
      <w:r>
        <w:t xml:space="preserve">Ocean Freight: 4,000 km * 0.83 kg * 0.000016 kg CO₂e/kg-km = 0.05312 kg CO₂e</w:t>
      </w:r>
    </w:p>
    <w:p>
      <w:pPr>
        <w:numPr>
          <w:ilvl w:val="0"/>
          <w:numId w:val="1010"/>
        </w:numPr>
        <w:pStyle w:val="Compact"/>
      </w:pPr>
      <w:r>
        <w:t xml:space="preserve">Road Freight (HGV, distribution center): 1,000 km * 0.83 kg * 0.0001 kg CO₂e/kg-km = 0.08300 kg CO₂e</w:t>
      </w:r>
    </w:p>
    <w:p>
      <w:pPr>
        <w:numPr>
          <w:ilvl w:val="0"/>
          <w:numId w:val="1010"/>
        </w:numPr>
        <w:pStyle w:val="Compact"/>
      </w:pPr>
      <w:r>
        <w:t xml:space="preserve">Last-Mile (LCV, direct to consumer): 500 km * 0.83 kg * 0.0002 kg CO₂e/kg-km = 0.08300 kg CO₂e</w:t>
      </w:r>
    </w:p>
    <w:p>
      <w:pPr>
        <w:pStyle w:val="FirstParagraph"/>
      </w:pPr>
      <w:r>
        <w:rPr>
          <w:bCs/>
          <w:b/>
        </w:rPr>
        <w:t xml:space="preserve">Sub-Total Scope 3, Category 9 Emissions:</w:t>
      </w:r>
      <w:r>
        <w:t xml:space="preserve"> </w:t>
      </w:r>
      <w:r>
        <w:t xml:space="preserve">0.05312 + 0.08300 + 0.08300 = 0.21912 kg CO₂e</w:t>
      </w:r>
    </w:p>
    <w:bookmarkEnd w:id="40"/>
    <w:bookmarkStart w:id="41" w:name="category-11-use-of-sold-products"/>
    <w:p>
      <w:pPr>
        <w:pStyle w:val="Heading4"/>
      </w:pPr>
      <w:r>
        <w:t xml:space="preserve">3.3.5. Category 11: Use of Sold Products</w:t>
      </w:r>
    </w:p>
    <w:p>
      <w:pPr>
        <w:pStyle w:val="FirstParagraph"/>
      </w:pPr>
      <w:r>
        <w:t xml:space="preserve">Emissions from the electricity consumed by the EcoSmart Home Hub during its 7-year lifespan in Europe.</w:t>
      </w:r>
    </w:p>
    <w:p>
      <w:pPr>
        <w:numPr>
          <w:ilvl w:val="0"/>
          <w:numId w:val="1011"/>
        </w:numPr>
        <w:pStyle w:val="Compact"/>
      </w:pPr>
      <w:r>
        <w:t xml:space="preserve">Energy Consumption: 5 kWh/year * 7 years = 35 kWh</w:t>
      </w:r>
    </w:p>
    <w:p>
      <w:pPr>
        <w:numPr>
          <w:ilvl w:val="0"/>
          <w:numId w:val="1011"/>
        </w:numPr>
        <w:pStyle w:val="Compact"/>
      </w:pPr>
      <w:r>
        <w:t xml:space="preserve">European Grid Emission Factor: 0.30 kg CO₂e/kWh</w:t>
      </w:r>
    </w:p>
    <w:p>
      <w:pPr>
        <w:pStyle w:val="FirstParagraph"/>
      </w:pPr>
      <w:r>
        <w:rPr>
          <w:bCs/>
          <w:b/>
        </w:rPr>
        <w:t xml:space="preserve">Calculation:</w:t>
      </w:r>
      <w:r>
        <w:t xml:space="preserve"> </w:t>
      </w:r>
      <w:r>
        <w:t xml:space="preserve">35 kWh * 0.30 kg CO₂e/kWh = 10.50 kg CO₂e</w:t>
      </w:r>
    </w:p>
    <w:p>
      <w:pPr>
        <w:pStyle w:val="BodyText"/>
      </w:pPr>
      <w:r>
        <w:rPr>
          <w:bCs/>
          <w:b/>
        </w:rPr>
        <w:t xml:space="preserve">Sub-Total Scope 3, Category 11 Emissions:</w:t>
      </w:r>
      <w:r>
        <w:t xml:space="preserve"> </w:t>
      </w:r>
      <w:r>
        <w:t xml:space="preserve">10.50 kg CO₂e</w:t>
      </w:r>
    </w:p>
    <w:bookmarkEnd w:id="41"/>
    <w:bookmarkStart w:id="42" w:name="X9f66eef2700632e081dfe139021cb724ffcd2c5"/>
    <w:p>
      <w:pPr>
        <w:pStyle w:val="Heading4"/>
      </w:pPr>
      <w:r>
        <w:t xml:space="preserve">3.3.6. Category 12: End-of-Life Treatment of Sold Products</w:t>
      </w:r>
    </w:p>
    <w:p>
      <w:pPr>
        <w:pStyle w:val="FirstParagraph"/>
      </w:pPr>
      <w:r>
        <w:t xml:space="preserve">Emissions from the disposal of the product at the end of its life, considering recycling and landfilling scenarios.</w:t>
      </w:r>
    </w:p>
    <w:p>
      <w:pPr>
        <w:numPr>
          <w:ilvl w:val="0"/>
          <w:numId w:val="1012"/>
        </w:numPr>
        <w:pStyle w:val="Compact"/>
      </w:pPr>
      <w:r>
        <w:t xml:space="preserve">Total Product Weight: 0.83 kg</w:t>
      </w:r>
    </w:p>
    <w:p>
      <w:pPr>
        <w:numPr>
          <w:ilvl w:val="0"/>
          <w:numId w:val="1012"/>
        </w:numPr>
        <w:pStyle w:val="Compact"/>
      </w:pPr>
      <w:r>
        <w:t xml:space="preserve">90% Recycled: GreenTech Solutions Inc. operates a take-back program. The high recyclability rate and take-back program significantly mitigate end-of-life impacts by diverting waste from landfills and enabling material recovery, thereby avoiding virgin material production. While no negative credits are applied directly to the total PCF (to maintain gross emissions focus), the avoided emissions from recycling are substantial. For example, recycling aluminum requires only about 5% of the energy needed for primary production.</w:t>
      </w:r>
    </w:p>
    <w:p>
      <w:pPr>
        <w:numPr>
          <w:ilvl w:val="0"/>
          <w:numId w:val="1012"/>
        </w:numPr>
        <w:pStyle w:val="Compact"/>
      </w:pPr>
      <w:r>
        <w:t xml:space="preserve">10% Landfilled: 0.83 kg * 0.10 = 0.083 kg</w:t>
      </w:r>
    </w:p>
    <w:p>
      <w:pPr>
        <w:numPr>
          <w:ilvl w:val="0"/>
          <w:numId w:val="1012"/>
        </w:numPr>
        <w:pStyle w:val="Compact"/>
      </w:pPr>
      <w:r>
        <w:t xml:space="preserve">Landfill Emission Factor: 0.05 kg CO₂e/kg</w:t>
      </w:r>
    </w:p>
    <w:p>
      <w:pPr>
        <w:pStyle w:val="FirstParagraph"/>
      </w:pPr>
      <w:r>
        <w:rPr>
          <w:bCs/>
          <w:b/>
        </w:rPr>
        <w:t xml:space="preserve">Calculation for Landfill:</w:t>
      </w:r>
      <w:r>
        <w:t xml:space="preserve"> </w:t>
      </w:r>
      <w:r>
        <w:t xml:space="preserve">0.083 kg * 0.05 kg CO₂e/kg = 0.00415 kg CO₂e</w:t>
      </w:r>
    </w:p>
    <w:p>
      <w:pPr>
        <w:pStyle w:val="BodyText"/>
      </w:pPr>
      <w:r>
        <w:rPr>
          <w:bCs/>
          <w:b/>
        </w:rPr>
        <w:t xml:space="preserve">Sub-Total Scope 3, Category 12 Emissions:</w:t>
      </w:r>
      <w:r>
        <w:t xml:space="preserve"> </w:t>
      </w:r>
      <w:r>
        <w:t xml:space="preserve">0.00415 kg CO₂e</w:t>
      </w:r>
    </w:p>
    <w:bookmarkEnd w:id="42"/>
    <w:bookmarkStart w:id="43" w:name="summary-of-scope-3-emissions"/>
    <w:p>
      <w:pPr>
        <w:pStyle w:val="Heading4"/>
      </w:pPr>
      <w:r>
        <w:t xml:space="preserve">Summary of Scope 3 Emissions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 3 Category</w:t>
            </w:r>
          </w:p>
        </w:tc>
        <w:tc>
          <w:tcPr/>
          <w:p>
            <w:pPr>
              <w:pStyle w:val="Compact"/>
              <w:jc w:val="left"/>
            </w:pPr>
            <w:r>
              <w:t xml:space="preserve">Description</w:t>
            </w:r>
          </w:p>
        </w:tc>
        <w:tc>
          <w:tcPr/>
          <w:p>
            <w:pPr>
              <w:pStyle w:val="Compact"/>
              <w:jc w:val="left"/>
            </w:pPr>
            <w:r>
              <w:t xml:space="preserve">Emissions (kg CO₂e)</w:t>
            </w:r>
          </w:p>
        </w:tc>
      </w:tr>
      <w:tr>
        <w:tc>
          <w:tcPr/>
          <w:p>
            <w:pPr>
              <w:pStyle w:val="Compact"/>
              <w:jc w:val="left"/>
            </w:pPr>
            <w:r>
              <w:t xml:space="preserve">Category 1</w:t>
            </w:r>
          </w:p>
        </w:tc>
        <w:tc>
          <w:tcPr/>
          <w:p>
            <w:pPr>
              <w:pStyle w:val="Compact"/>
              <w:jc w:val="left"/>
            </w:pPr>
            <w:r>
              <w:t xml:space="preserve">Purchased Goods and Services (Materials)</w:t>
            </w:r>
          </w:p>
        </w:tc>
        <w:tc>
          <w:tcPr/>
          <w:p>
            <w:pPr>
              <w:pStyle w:val="Compact"/>
              <w:jc w:val="left"/>
            </w:pPr>
            <w:r>
              <w:t xml:space="preserve">4.185</w:t>
            </w:r>
          </w:p>
        </w:tc>
      </w:tr>
      <w:tr>
        <w:tc>
          <w:tcPr/>
          <w:p>
            <w:pPr>
              <w:pStyle w:val="Compact"/>
              <w:jc w:val="left"/>
            </w:pPr>
            <w:r>
              <w:t xml:space="preserve">Category 4</w:t>
            </w:r>
          </w:p>
        </w:tc>
        <w:tc>
          <w:tcPr/>
          <w:p>
            <w:pPr>
              <w:pStyle w:val="Compact"/>
              <w:jc w:val="left"/>
            </w:pPr>
            <w:r>
              <w:t xml:space="preserve">Upstream Transportation and Distribution</w:t>
            </w:r>
          </w:p>
        </w:tc>
        <w:tc>
          <w:tcPr/>
          <w:p>
            <w:pPr>
              <w:pStyle w:val="Compact"/>
              <w:jc w:val="left"/>
            </w:pPr>
            <w:r>
              <w:t xml:space="preserve">0.123</w:t>
            </w:r>
          </w:p>
        </w:tc>
      </w:tr>
      <w:tr>
        <w:tc>
          <w:tcPr/>
          <w:p>
            <w:pPr>
              <w:pStyle w:val="Compact"/>
              <w:jc w:val="left"/>
            </w:pPr>
            <w:r>
              <w:t xml:space="preserve">Category 9</w:t>
            </w:r>
          </w:p>
        </w:tc>
        <w:tc>
          <w:tcPr/>
          <w:p>
            <w:pPr>
              <w:pStyle w:val="Compact"/>
              <w:jc w:val="left"/>
            </w:pPr>
            <w:r>
              <w:t xml:space="preserve">Downstream Transportation and Distribution</w:t>
            </w:r>
          </w:p>
        </w:tc>
        <w:tc>
          <w:tcPr/>
          <w:p>
            <w:pPr>
              <w:pStyle w:val="Compact"/>
              <w:jc w:val="left"/>
            </w:pPr>
            <w:r>
              <w:t xml:space="preserve">0.219</w:t>
            </w:r>
          </w:p>
        </w:tc>
      </w:tr>
      <w:tr>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10.500</w:t>
            </w:r>
          </w:p>
        </w:tc>
      </w:tr>
      <w:tr>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0.004</w:t>
            </w:r>
          </w:p>
        </w:tc>
      </w:tr>
      <w:tr>
        <w:tc>
          <w:tcPr>
            <w:gridSpan w:val="2"/>
          </w:tcPr>
          <w:p>
            <w:pPr>
              <w:pStyle w:val="Compact"/>
              <w:jc w:val="left"/>
            </w:pPr>
            <w:r>
              <w:rPr>
                <w:bCs/>
                <w:b/>
              </w:rPr>
              <w:t xml:space="preserve">Total Scope 3 Emissions</w:t>
            </w:r>
          </w:p>
        </w:tc>
        <w:tc>
          <w:tcPr/>
          <w:p>
            <w:pPr>
              <w:pStyle w:val="Compact"/>
              <w:jc w:val="left"/>
            </w:pPr>
            <w:r>
              <w:rPr>
                <w:bCs/>
                <w:b/>
              </w:rPr>
              <w:t xml:space="preserve">15.031</w:t>
            </w:r>
          </w:p>
        </w:tc>
      </w:tr>
    </w:tbl>
    <w:p>
      <w:r>
        <w:pict>
          <v:rect style="width:0;height:1.5pt" o:hralign="center" o:hrstd="t" o:hr="t"/>
        </w:pict>
      </w:r>
    </w:p>
    <w:bookmarkEnd w:id="43"/>
    <w:bookmarkEnd w:id="44"/>
    <w:bookmarkEnd w:id="45"/>
    <w:bookmarkStart w:id="46" w:name="overall-product-carbon-footprint-pcf"/>
    <w:p>
      <w:pPr>
        <w:pStyle w:val="Heading2"/>
      </w:pPr>
      <w:r>
        <w:t xml:space="preserve">4. Overall Product Carbon Footprint (PCF)</w:t>
      </w:r>
    </w:p>
    <w:p>
      <w:pPr>
        <w:pStyle w:val="FirstParagraph"/>
      </w:pPr>
      <w:r>
        <w:t xml:space="preserve">The total Product Carbon Footprint for one functional unit of the EcoSmart Home Hub (dgnmxkwsls) is the sum of emissions from Scope 1, Scope 2, and Scope 3.</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Description</w:t>
            </w:r>
          </w:p>
        </w:tc>
        <w:tc>
          <w:tcPr/>
          <w:p>
            <w:pPr>
              <w:pStyle w:val="Compact"/>
              <w:jc w:val="left"/>
            </w:pPr>
            <w:r>
              <w:t xml:space="preserve">Emissions (kg CO₂e/unit)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Indirect Emissions from Purchased Energy (Manufacturing)</w:t>
            </w:r>
          </w:p>
        </w:tc>
        <w:tc>
          <w:tcPr/>
          <w:p>
            <w:pPr>
              <w:pStyle w:val="Compact"/>
              <w:jc w:val="left"/>
            </w:pPr>
            <w:r>
              <w:t xml:space="preserve">1.72</w:t>
            </w:r>
          </w:p>
        </w:tc>
        <w:tc>
          <w:tcPr/>
          <w:p>
            <w:pPr>
              <w:pStyle w:val="Compact"/>
              <w:jc w:val="left"/>
            </w:pPr>
            <w:r>
              <w:t xml:space="preserve">10.27%</w:t>
            </w:r>
          </w:p>
        </w:tc>
      </w:tr>
      <w:tr>
        <w:tc>
          <w:tcPr/>
          <w:p>
            <w:pPr>
              <w:pStyle w:val="Compact"/>
              <w:jc w:val="left"/>
            </w:pPr>
            <w:r>
              <w:t xml:space="preserve">Scope 3</w:t>
            </w:r>
          </w:p>
        </w:tc>
        <w:tc>
          <w:tcPr/>
          <w:p>
            <w:pPr>
              <w:pStyle w:val="Compact"/>
              <w:jc w:val="left"/>
            </w:pPr>
            <w:r>
              <w:t xml:space="preserve">Other Indirect Emissions (Value Chain)</w:t>
            </w:r>
          </w:p>
        </w:tc>
        <w:tc>
          <w:tcPr/>
          <w:p>
            <w:pPr>
              <w:pStyle w:val="Compact"/>
              <w:jc w:val="left"/>
            </w:pPr>
            <w:r>
              <w:t xml:space="preserve">15.03</w:t>
            </w:r>
          </w:p>
        </w:tc>
        <w:tc>
          <w:tcPr/>
          <w:p>
            <w:pPr>
              <w:pStyle w:val="Compact"/>
              <w:jc w:val="left"/>
            </w:pPr>
            <w:r>
              <w:t xml:space="preserve">89.73%</w:t>
            </w:r>
          </w:p>
        </w:tc>
      </w:tr>
      <w:tr>
        <w:tc>
          <w:tcPr>
            <w:gridSpan w:val="2"/>
          </w:tcPr>
          <w:p>
            <w:pPr>
              <w:pStyle w:val="Compact"/>
              <w:jc w:val="left"/>
            </w:pPr>
            <w:r>
              <w:rPr>
                <w:bCs/>
                <w:b/>
              </w:rPr>
              <w:t xml:space="preserve">TOTAL PRODUCT CARBON FOOTPRINT</w:t>
            </w:r>
          </w:p>
        </w:tc>
        <w:tc>
          <w:tcPr/>
          <w:p>
            <w:pPr>
              <w:pStyle w:val="Compact"/>
              <w:jc w:val="left"/>
            </w:pPr>
            <w:r>
              <w:rPr>
                <w:bCs/>
                <w:b/>
              </w:rPr>
              <w:t xml:space="preserve">16.75</w:t>
            </w:r>
          </w:p>
        </w:tc>
        <w:tc>
          <w:tcPr/>
          <w:p>
            <w:pPr>
              <w:pStyle w:val="Compact"/>
              <w:jc w:val="left"/>
            </w:pPr>
            <w:r>
              <w:rPr>
                <w:bCs/>
                <w:b/>
              </w:rPr>
              <w:t xml:space="preserve">100.00%</w:t>
            </w:r>
          </w:p>
        </w:tc>
      </w:tr>
    </w:tbl>
    <w:p>
      <w:pPr>
        <w:pStyle w:val="BodyText"/>
      </w:pPr>
      <w:r>
        <w:rPr>
          <w:iCs/>
          <w:i/>
        </w:rPr>
        <w:t xml:space="preserve">Figures are rounded to two decimal places.</w:t>
      </w:r>
    </w:p>
    <w:p>
      <w:r>
        <w:pict>
          <v:rect style="width:0;height:1.5pt" o:hralign="center" o:hrstd="t" o:hr="t"/>
        </w:pict>
      </w:r>
    </w:p>
    <w:bookmarkEnd w:id="46"/>
    <w:bookmarkStart w:id="51" w:name="review-reporting"/>
    <w:p>
      <w:pPr>
        <w:pStyle w:val="Heading2"/>
      </w:pPr>
      <w:r>
        <w:t xml:space="preserve">5. Review &amp; Reporting</w:t>
      </w:r>
    </w:p>
    <w:bookmarkStart w:id="47" w:name="hotspot-analysis"/>
    <w:p>
      <w:pPr>
        <w:pStyle w:val="Heading3"/>
      </w:pPr>
      <w:r>
        <w:t xml:space="preserve">5.1. Hotspot Analysis</w:t>
      </w:r>
    </w:p>
    <w:p>
      <w:pPr>
        <w:pStyle w:val="FirstParagraph"/>
      </w:pPr>
      <w:r>
        <w:t xml:space="preserve">The analysis reveals key emission hotspots in the EcoSmart Home Hub\'s lifecycle:</w:t>
      </w:r>
    </w:p>
    <w:p>
      <w:pPr>
        <w:numPr>
          <w:ilvl w:val="0"/>
          <w:numId w:val="1013"/>
        </w:numPr>
        <w:pStyle w:val="Compact"/>
      </w:pPr>
      <w:r>
        <w:rPr>
          <w:bCs/>
          <w:b/>
        </w:rPr>
        <w:t xml:space="preserve">Use Phase (Scope 3, Category 11):</w:t>
      </w:r>
      <w:r>
        <w:t xml:space="preserve"> </w:t>
      </w:r>
      <w:r>
        <w:t xml:space="preserve">Constitutes the largest portion of the PCF (approximately 62.6% of the total). This is driven by the product\'s lifespan and annual energy consumption, highlighting the importance of energy-efficient design and user behavior.</w:t>
      </w:r>
    </w:p>
    <w:p>
      <w:pPr>
        <w:numPr>
          <w:ilvl w:val="0"/>
          <w:numId w:val="1013"/>
        </w:numPr>
        <w:pStyle w:val="Compact"/>
      </w:pPr>
      <w:r>
        <w:rPr>
          <w:bCs/>
          <w:b/>
        </w:rPr>
        <w:t xml:space="preserve">Material Production (Scope 3, Category 1):</w:t>
      </w:r>
      <w:r>
        <w:t xml:space="preserve"> </w:t>
      </w:r>
      <w:r>
        <w:t xml:space="preserve">Represents the second-largest hotspot (approximately 25.0%), indicating that the choice of materials and their upstream production processes have a significant impact. Electronics components and aluminium production are notable contributors.</w:t>
      </w:r>
    </w:p>
    <w:p>
      <w:pPr>
        <w:numPr>
          <w:ilvl w:val="0"/>
          <w:numId w:val="1013"/>
        </w:numPr>
        <w:pStyle w:val="Compact"/>
      </w:pPr>
      <w:r>
        <w:rPr>
          <w:bCs/>
          <w:b/>
        </w:rPr>
        <w:t xml:space="preserve">Manufacturing Energy (Scope 2):</w:t>
      </w:r>
      <w:r>
        <w:t xml:space="preserve"> </w:t>
      </w:r>
      <w:r>
        <w:t xml:space="preserve">Accounts for a smaller but significant portion (approximately 10.3%), emphasizing the benefits of increasing renewable energy sourcing in production facilities.</w:t>
      </w:r>
    </w:p>
    <w:p>
      <w:pPr>
        <w:numPr>
          <w:ilvl w:val="0"/>
          <w:numId w:val="1013"/>
        </w:numPr>
        <w:pStyle w:val="Compact"/>
      </w:pPr>
      <w:r>
        <w:rPr>
          <w:bCs/>
          <w:b/>
        </w:rPr>
        <w:t xml:space="preserve">Transportation (Scope 3, Category 4 &amp; 9):</w:t>
      </w:r>
      <w:r>
        <w:t xml:space="preserve"> </w:t>
      </w:r>
      <w:r>
        <w:t xml:space="preserve">While vital for global supply chains, transportation contributes a relatively smaller percentage (approximately 2.0%) compared to other stages, due to the low weight of the product and efficiency of ocean freight.</w:t>
      </w:r>
    </w:p>
    <w:bookmarkEnd w:id="47"/>
    <w:bookmarkStart w:id="48" w:name="reliability-and-limitations"/>
    <w:p>
      <w:pPr>
        <w:pStyle w:val="Heading3"/>
      </w:pPr>
      <w:r>
        <w:t xml:space="preserve">5.2. Reliability and Limitations</w:t>
      </w:r>
    </w:p>
    <w:p>
      <w:pPr>
        <w:pStyle w:val="FirstParagraph"/>
      </w:pPr>
      <w:r>
        <w:t xml:space="preserve">The reliability of this PCF is high, given the use of a detailed Bill of Materials and specific operational data. However, inherent limitations include:</w:t>
      </w:r>
    </w:p>
    <w:p>
      <w:pPr>
        <w:numPr>
          <w:ilvl w:val="0"/>
          <w:numId w:val="1014"/>
        </w:numPr>
        <w:pStyle w:val="Compact"/>
      </w:pPr>
      <w:r>
        <w:rPr>
          <w:bCs/>
          <w:b/>
        </w:rPr>
        <w:t xml:space="preserve">Secondary Data Reliance:</w:t>
      </w:r>
      <w:r>
        <w:t xml:space="preserve"> </w:t>
      </w:r>
      <w:r>
        <w:t xml:space="preserve">Emission factors for generic processes (e.g., PCB fabrication, miscellaneous electronics) and background data (e.g., grid electricity mixes) rely on recognized industry databases (Ecoinvent, DEFRA) which represent averages and may not perfectly reflect all specific supplier data.</w:t>
      </w:r>
    </w:p>
    <w:p>
      <w:pPr>
        <w:numPr>
          <w:ilvl w:val="0"/>
          <w:numId w:val="1014"/>
        </w:numPr>
        <w:pStyle w:val="Compact"/>
      </w:pPr>
      <w:r>
        <w:rPr>
          <w:bCs/>
          <w:b/>
        </w:rPr>
        <w:t xml:space="preserve">Assumptions:</w:t>
      </w:r>
      <w:r>
        <w:t xml:space="preserve"> </w:t>
      </w:r>
      <w:r>
        <w:t xml:space="preserve">Assumptions were made regarding transport distances, modes, allocation of general transport emissions between upstream and downstream, and end-of-life scenarios (e.g., landfill emission factor for the non-recycled portion).</w:t>
      </w:r>
    </w:p>
    <w:p>
      <w:pPr>
        <w:numPr>
          <w:ilvl w:val="0"/>
          <w:numId w:val="1014"/>
        </w:numPr>
        <w:pStyle w:val="Compact"/>
      </w:pPr>
      <w:r>
        <w:rPr>
          <w:bCs/>
          <w:b/>
        </w:rPr>
        <w:t xml:space="preserve">Dynamic Environment:</w:t>
      </w:r>
      <w:r>
        <w:t xml:space="preserve"> </w:t>
      </w:r>
      <w:r>
        <w:t xml:space="preserve">Emission factors and energy mixes are constantly evolving (e.g., China\'s grid is decarbonizing), meaning this report represents a snapshot based on current available data.</w:t>
      </w:r>
    </w:p>
    <w:p>
      <w:pPr>
        <w:numPr>
          <w:ilvl w:val="0"/>
          <w:numId w:val="1014"/>
        </w:numPr>
        <w:pStyle w:val="Compact"/>
      </w:pPr>
      <w:r>
        <w:rPr>
          <w:bCs/>
          <w:b/>
        </w:rPr>
        <w:t xml:space="preserve">LSR Standard:</w:t>
      </w:r>
      <w:r>
        <w:t xml:space="preserve"> </w:t>
      </w:r>
      <w:r>
        <w:t xml:space="preserve">While acknowledged, specific quantification under the 2026 GHG Protocol Land Sector and Removals (LSR) Standard was not performed due to the nature of the product and lack of specific land-use related data in the provided parameters. The LSR Standard is primarily relevant for companies with significant land sector activities or those reporting CO2 removals.</w:t>
      </w:r>
    </w:p>
    <w:bookmarkEnd w:id="48"/>
    <w:bookmarkStart w:id="50" w:name="recommendations-for-reduction"/>
    <w:p>
      <w:pPr>
        <w:pStyle w:val="Heading3"/>
      </w:pPr>
      <w:r>
        <w:t xml:space="preserve">5.3. Recommendations for Reduction</w:t>
      </w:r>
    </w:p>
    <w:p>
      <w:pPr>
        <w:pStyle w:val="FirstParagraph"/>
      </w:pPr>
      <w:r>
        <w:t xml:space="preserve">Based on this analysis, GreenTech Solutions Inc. (ntpxzwdylu) should focus on the following to reduce the EcoSmart Home Hub\'s PCF:</w:t>
      </w:r>
    </w:p>
    <w:p>
      <w:pPr>
        <w:numPr>
          <w:ilvl w:val="0"/>
          <w:numId w:val="1015"/>
        </w:numPr>
        <w:pStyle w:val="Compact"/>
      </w:pPr>
      <w:r>
        <w:rPr>
          <w:bCs/>
          <w:b/>
        </w:rPr>
        <w:t xml:space="preserve">Enhance Use Phase Efficiency:</w:t>
      </w:r>
      <w:r>
        <w:t xml:space="preserve"> </w:t>
      </w:r>
      <w:r>
        <w:t xml:space="preserve">Invest in R&amp;D to further reduce the product\'s operational energy consumption (lgiovutxgt) and extend its lifespan (dvfqddiizg). Promoting responsible consumer usage and providing tips for energy-saving modes can also contribute.</w:t>
      </w:r>
    </w:p>
    <w:p>
      <w:pPr>
        <w:numPr>
          <w:ilvl w:val="0"/>
          <w:numId w:val="1015"/>
        </w:numPr>
        <w:pStyle w:val="Compact"/>
      </w:pPr>
      <w:r>
        <w:rPr>
          <w:bCs/>
          <w:b/>
        </w:rPr>
        <w:t xml:space="preserve">Sustainable Material Sourcing:</w:t>
      </w:r>
      <w:r>
        <w:t xml:space="preserve"> </w:t>
      </w:r>
      <w:r>
        <w:t xml:space="preserve">Explore opportunities to utilize materials with even lower embodied carbon, increasing recycled content beyond current levels, and engaging with suppliers to reduce upstream manufacturing impacts.</w:t>
      </w:r>
    </w:p>
    <w:p>
      <w:pPr>
        <w:numPr>
          <w:ilvl w:val="0"/>
          <w:numId w:val="1015"/>
        </w:numPr>
        <w:pStyle w:val="Compact"/>
      </w:pPr>
      <w:r>
        <w:rPr>
          <w:bCs/>
          <w:b/>
        </w:rPr>
        <w:t xml:space="preserve">Renewable Energy Integration:</w:t>
      </w:r>
      <w:r>
        <w:t xml:space="preserve"> </w:t>
      </w:r>
      <w:r>
        <w:t xml:space="preserve">Continue to increase the percentage of renewable energy (jdykijxuvy) used in manufacturing operations. For the non-renewable portion, seek to procure electricity from lower-carbon intensity grids where possible.</w:t>
      </w:r>
    </w:p>
    <w:p>
      <w:pPr>
        <w:numPr>
          <w:ilvl w:val="0"/>
          <w:numId w:val="1015"/>
        </w:numPr>
        <w:pStyle w:val="Compact"/>
      </w:pPr>
      <w:r>
        <w:rPr>
          <w:bCs/>
          <w:b/>
        </w:rPr>
        <w:t xml:space="preserve">Optimize Logistics:</w:t>
      </w:r>
      <w:r>
        <w:t xml:space="preserve"> </w:t>
      </w:r>
      <w:r>
        <w:t xml:space="preserve">Continuously evaluate and optimize transport routes and modes to minimize emissions, especially for higher-impact road freight.</w:t>
      </w:r>
    </w:p>
    <w:p>
      <w:pPr>
        <w:numPr>
          <w:ilvl w:val="0"/>
          <w:numId w:val="1015"/>
        </w:numPr>
        <w:pStyle w:val="Compact"/>
      </w:pPr>
      <w:r>
        <w:rPr>
          <w:bCs/>
          <w:b/>
        </w:rPr>
        <w:t xml:space="preserve">Strengthen Circularity:</w:t>
      </w:r>
      <w:r>
        <w:t xml:space="preserve"> </w:t>
      </w:r>
      <w:r>
        <w:t xml:space="preserve">Leverage the existing take-back program (vznptfwook) to ensure maximum material recovery and explore innovative recycling technologies for complex electronic components to further reduce EoL impacts and generate material credits.</w:t>
      </w:r>
    </w:p>
    <w:p>
      <w:pPr>
        <w:pStyle w:val="FirstParagraph"/>
      </w:pPr>
      <w:r>
        <w:t xml:space="preserve">This report provides a robust baseline for GreenTech Solutions Inc. to track progress, set science-based targets, and drive sustainable innovation for the EcoSmart Home Hub.</w:t>
      </w:r>
    </w:p>
    <w:p>
      <w:pPr>
        <w:pStyle w:val="BodyText"/>
      </w:pPr>
      <w:r>
        <w:t xml:space="preserve">Confidential - Internal Use Only | Page</w:t>
      </w:r>
      <w:r>
        <w:t xml:space="preserve"> </w:t>
      </w:r>
      <w:bookmarkStart w:id="49" w:name="pageNumber"/>
      <w:bookmarkEnd w:id="49"/>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EcoSmart Home Hub (dgnmxkwsls)</dc:title>
  <dc:creator/>
  <dc:description>Detailed Product Carbon Footprint (PCF) analysis report for dgnmxkwsls (EcoSmart Home Hub) by GreenTech Solutions Inc., specializing in GHG Protocol compliance and sustainability.</dc:description>
  <dc:language>en</dc:language>
  <cp:keywords/>
  <dcterms:created xsi:type="dcterms:W3CDTF">2026-07-15T01:04:18Z</dcterms:created>
  <dcterms:modified xsi:type="dcterms:W3CDTF">2026-07-15T01:04:18Z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