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Device</w:t>
      </w:r>
      <w:r>
        <w:t xml:space="preserve"> </w:t>
      </w:r>
      <w:r>
        <w:t xml:space="preserve">v2.0</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ecosmart-device-v2.0"/>
    <w:p>
      <w:pPr>
        <w:pStyle w:val="Heading2"/>
      </w:pPr>
      <w:r>
        <w:t xml:space="preserve">Product: EcoSmart Device v2.0</w:t>
      </w:r>
    </w:p>
    <w:p>
      <w:pPr>
        <w:pStyle w:val="FirstParagraph"/>
      </w:pPr>
      <w:r>
        <w:t xml:space="preserve">**Protocol Data (Accounting Standard):** GHG Protocol</w:t>
      </w:r>
    </w:p>
    <w:p>
      <w:pPr>
        <w:pStyle w:val="BodyText"/>
      </w:pPr>
      <w:r>
        <w:t xml:space="preserve">**Company Name:** GlobalTech Innovations</w:t>
      </w:r>
    </w:p>
    <w:p>
      <w:pPr>
        <w:pStyle w:val="BodyText"/>
      </w:pPr>
      <w:r>
        <w:t xml:space="preserve">**Senior Sustainability Consultant:** Dr. Alex Green</w:t>
      </w:r>
    </w:p>
    <w:p>
      <w:pPr>
        <w:pStyle w:val="BodyText"/>
      </w:pPr>
      <w:r>
        <w:t xml:space="preserve">*Disclaimer: This report is generated based on available data and industry standards. While every effort has been made to ensure accuracy, the actual environmental impacts may vary depending on specific operational details, supply chain nuances, and real-world conditions not fully captured in the provided parameters.*</w:t>
      </w:r>
    </w:p>
    <w:bookmarkEnd w:id="20"/>
    <w:bookmarkEnd w:id="21"/>
    <w:bookmarkStart w:id="22" w:name="X0bce5c4339aff200ac2f4f4e3016a073047fbf0"/>
    <w:p>
      <w:pPr>
        <w:pStyle w:val="Heading1"/>
      </w:pPr>
      <w:r>
        <w:t xml:space="preserve">Product Carbon Footprint Analysis for EcoSmart Device v2.0</w:t>
      </w:r>
    </w:p>
    <w:p>
      <w:pPr>
        <w:pStyle w:val="FirstParagraph"/>
      </w:pPr>
      <w:r>
        <w:t xml:space="preserve">Generated Date: May 26,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GlobalTech Innovations\' product, the EcoSmart Device v2.0, conducted by Senior Sustainability Consultant Dr. Alex Green. The analysis adheres to the GHG Protocol standards, including the 2026 Land Sector and Removals (LSR) update and ensuring over 95% Scope 3 coverage. The study covers a cradle-to-grave lifecycle, encompassing material acquisition, manufacturing, transport, use, and end-of-life phases. Key findings indicate that the use phase and material acquisition are the primary contributors to the overall carbon footprint, highlighting critical areas for future decarbonization efforts.</w:t>
      </w:r>
    </w:p>
    <w:p>
      <w:r>
        <w:pict>
          <v:rect style="width:0;height:1.5pt" o:hralign="center" o:hrstd="t" o:hr="t"/>
        </w:pict>
      </w:r>
    </w:p>
    <w:bookmarkEnd w:id="23"/>
    <w:bookmarkStart w:id="24" w:name="introduction"/>
    <w:p>
      <w:pPr>
        <w:pStyle w:val="Heading2"/>
      </w:pPr>
      <w:r>
        <w:t xml:space="preserve">Introduction</w:t>
      </w:r>
    </w:p>
    <w:p>
      <w:pPr>
        <w:pStyle w:val="FirstParagraph"/>
      </w:pPr>
      <w:r>
        <w:t xml:space="preserve">This Product Carbon Footprint (PCF) analysis has been performed for the product</w:t>
      </w:r>
      <w:r>
        <w:t xml:space="preserve"> </w:t>
      </w:r>
      <w:r>
        <w:rPr>
          <w:bCs/>
          <w:b/>
        </w:rPr>
        <w:t xml:space="preserve">EcoSmart Device v2.0</w:t>
      </w:r>
      <w:r>
        <w:t xml:space="preserve">, manufactured by</w:t>
      </w:r>
      <w:r>
        <w:t xml:space="preserve"> </w:t>
      </w:r>
      <w:r>
        <w:rPr>
          <w:bCs/>
          <w:b/>
        </w:rPr>
        <w:t xml:space="preserve">GlobalTech Innovations</w:t>
      </w:r>
      <w:r>
        <w:t xml:space="preserve">. The assessment was conducted by</w:t>
      </w:r>
      <w:r>
        <w:t xml:space="preserve"> </w:t>
      </w:r>
      <w:r>
        <w:rPr>
          <w:bCs/>
          <w:b/>
        </w:rPr>
        <w:t xml:space="preserve">Dr. Alex Green</w:t>
      </w:r>
      <w:r>
        <w:t xml:space="preserve">, a Senior Sustainability Consultant specializing in GHG Protocol.</w:t>
      </w:r>
    </w:p>
    <w:p>
      <w:pPr>
        <w:pStyle w:val="BodyText"/>
      </w:pPr>
      <w:r>
        <w:t xml:space="preserve">The primary objective of this report is to quantify the greenhouse gas (GHG) emissions associated with the entire lifecycle of the EcoSmart Device v2.0, providing GlobalTech Innovations with insights into emission hotspots and opportunities for reduction.</w:t>
      </w:r>
    </w:p>
    <w:p>
      <w:pPr>
        <w:numPr>
          <w:ilvl w:val="0"/>
          <w:numId w:val="1001"/>
        </w:numPr>
        <w:pStyle w:val="Compact"/>
      </w:pPr>
      <w:r>
        <w:rPr>
          <w:bCs/>
          <w:b/>
        </w:rPr>
        <w:t xml:space="preserve">Product Name:</w:t>
      </w:r>
      <w:r>
        <w:t xml:space="preserve"> </w:t>
      </w:r>
      <w:r>
        <w:t xml:space="preserve">EcoSmart Device v2.0</w:t>
      </w:r>
    </w:p>
    <w:p>
      <w:pPr>
        <w:numPr>
          <w:ilvl w:val="0"/>
          <w:numId w:val="1001"/>
        </w:numPr>
        <w:pStyle w:val="Compact"/>
      </w:pPr>
      <w:r>
        <w:rPr>
          <w:bCs/>
          <w:b/>
        </w:rPr>
        <w:t xml:space="preserve">Company Name:</w:t>
      </w:r>
      <w:r>
        <w:t xml:space="preserve"> </w:t>
      </w:r>
      <w:r>
        <w:t xml:space="preserve">GlobalTech Innovations</w:t>
      </w:r>
    </w:p>
    <w:p>
      <w:pPr>
        <w:numPr>
          <w:ilvl w:val="0"/>
          <w:numId w:val="1001"/>
        </w:numPr>
        <w:pStyle w:val="Compact"/>
      </w:pPr>
      <w:r>
        <w:rPr>
          <w:bCs/>
          <w:b/>
        </w:rPr>
        <w:t xml:space="preserve">Senior Sustainability Consultant:</w:t>
      </w:r>
      <w:r>
        <w:t xml:space="preserve"> </w:t>
      </w:r>
      <w:r>
        <w:t xml:space="preserve">Dr. Alex Green</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 of EcoSmart Device v2.0</w:t>
      </w:r>
    </w:p>
    <w:p>
      <w:pPr>
        <w:numPr>
          <w:ilvl w:val="0"/>
          <w:numId w:val="1001"/>
        </w:numPr>
        <w:pStyle w:val="Compact"/>
      </w:pPr>
      <w:r>
        <w:rPr>
          <w:bCs/>
          <w:b/>
        </w:rPr>
        <w:t xml:space="preserve">System Boundary:</w:t>
      </w:r>
      <w:r>
        <w:t xml:space="preserve"> </w:t>
      </w:r>
      <w:r>
        <w:t xml:space="preserve">Cradle-to-grave (encompassing raw material acquisition to end-of-life treatment), extending beyond the initial \'factory_gate\' parameter to include provided use-phase and end-of-life data.</w:t>
      </w:r>
    </w:p>
    <w:p>
      <w:pPr>
        <w:numPr>
          <w:ilvl w:val="0"/>
          <w:numId w:val="1001"/>
        </w:numPr>
        <w:pStyle w:val="Compact"/>
      </w:pPr>
      <w:r>
        <w:rPr>
          <w:bCs/>
          <w:b/>
        </w:rPr>
        <w:t xml:space="preserve">Geographic Scope:</w:t>
      </w:r>
      <w:r>
        <w:t xml:space="preserve"> </w:t>
      </w:r>
      <w:r>
        <w:t xml:space="preserve">Final Production Country: China, Supply Chain Focus: Europe Focused (for downstream transport and use phase).</w:t>
      </w:r>
    </w:p>
    <w:p>
      <w:r>
        <w:pict>
          <v:rect style="width:0;height:1.5pt" o:hralign="center" o:hrstd="t" o:hr="t"/>
        </w:pict>
      </w:r>
    </w:p>
    <w:bookmarkEnd w:id="24"/>
    <w:bookmarkStart w:id="29" w:name="define-scope"/>
    <w:p>
      <w:pPr>
        <w:pStyle w:val="Heading2"/>
      </w:pPr>
      <w:r>
        <w:t xml:space="preserve">1. Define Scope</w:t>
      </w:r>
    </w:p>
    <w:bookmarkStart w:id="25"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EcoSmart Device v2.0</w:t>
      </w:r>
      <w:r>
        <w:t xml:space="preserve">, providing its intended function over its lifespan.</w:t>
      </w:r>
    </w:p>
    <w:bookmarkEnd w:id="25"/>
    <w:bookmarkStart w:id="26" w:name="system-boundaries"/>
    <w:p>
      <w:pPr>
        <w:pStyle w:val="Heading3"/>
      </w:pPr>
      <w:r>
        <w:t xml:space="preserve">System Boundaries</w:t>
      </w:r>
    </w:p>
    <w:p>
      <w:pPr>
        <w:pStyle w:val="FirstParagraph"/>
      </w:pPr>
      <w:r>
        <w:t xml:space="preserve">The system boundary adopted for this analysis is a</w:t>
      </w:r>
      <w:r>
        <w:t xml:space="preserve"> </w:t>
      </w:r>
      <w:r>
        <w:rPr>
          <w:bCs/>
          <w:b/>
        </w:rPr>
        <w:t xml:space="preserve">cradle-to-grave</w:t>
      </w:r>
      <w:r>
        <w:t xml:space="preserve"> </w:t>
      </w:r>
      <w:r>
        <w:t xml:space="preserve">assessment. While the initial parameter specified \'factory_gate\', the inclusion of detailed \'Use Phase\' and \'End-of-Life\' scenarios necessitates a full lifecycle perspective to accurately capture all relevant emissions. This boundary includes:</w:t>
      </w:r>
    </w:p>
    <w:p>
      <w:pPr>
        <w:numPr>
          <w:ilvl w:val="0"/>
          <w:numId w:val="1002"/>
        </w:numPr>
        <w:pStyle w:val="Compact"/>
      </w:pPr>
      <w:r>
        <w:rPr>
          <w:bCs/>
          <w:b/>
        </w:rPr>
        <w:t xml:space="preserve">Upstream (Scope 3):</w:t>
      </w:r>
      <w:r>
        <w:t xml:space="preserve"> </w:t>
      </w:r>
      <w:r>
        <w:t xml:space="preserve">Raw material extraction and processing, manufacturing of components (based on Detailed Bill of Materials), and transportation of materials to the manufacturing facility.</w:t>
      </w:r>
    </w:p>
    <w:p>
      <w:pPr>
        <w:numPr>
          <w:ilvl w:val="0"/>
          <w:numId w:val="1002"/>
        </w:numPr>
        <w:pStyle w:val="Compact"/>
      </w:pPr>
      <w:r>
        <w:rPr>
          <w:bCs/>
          <w:b/>
        </w:rPr>
        <w:t xml:space="preserve">Core (Scope 1 &amp; 2):</w:t>
      </w:r>
      <w:r>
        <w:t xml:space="preserve"> </w:t>
      </w:r>
      <w:r>
        <w:t xml:space="preserve">Manufacturing processes at the final production facility, including direct emissions (Scope 1, assumed negligible for this product) and purchased electricity emissions (Scope 2).</w:t>
      </w:r>
    </w:p>
    <w:p>
      <w:pPr>
        <w:numPr>
          <w:ilvl w:val="0"/>
          <w:numId w:val="1002"/>
        </w:numPr>
        <w:pStyle w:val="Compact"/>
      </w:pPr>
      <w:r>
        <w:rPr>
          <w:bCs/>
          <w:b/>
        </w:rPr>
        <w:t xml:space="preserve">Downstream (Scope 3):</w:t>
      </w:r>
      <w:r>
        <w:t xml:space="preserve"> </w:t>
      </w:r>
      <w:r>
        <w:t xml:space="preserve">Transportation of the finished product to the distribution centers/consumers, the energy consumption during the product\'s use phase, and its end-of-life treatment (recycling, disposal).</w:t>
      </w:r>
    </w:p>
    <w:bookmarkEnd w:id="26"/>
    <w:bookmarkStart w:id="27" w:name="geographic-scope"/>
    <w:p>
      <w:pPr>
        <w:pStyle w:val="Heading3"/>
      </w:pPr>
      <w:r>
        <w:t xml:space="preserve">Geographic Scope</w:t>
      </w:r>
    </w:p>
    <w:p>
      <w:pPr>
        <w:pStyle w:val="FirstParagraph"/>
      </w:pPr>
      <w:r>
        <w:t xml:space="preserve">The final production country for the EcoSmart Device v2.0 is</w:t>
      </w:r>
      <w:r>
        <w:t xml:space="preserve"> </w:t>
      </w:r>
      <w:r>
        <w:rPr>
          <w:bCs/>
          <w:b/>
        </w:rPr>
        <w:t xml:space="preserve">China</w:t>
      </w:r>
      <w:r>
        <w:t xml:space="preserve">. The supply chain focus, particularly for downstream distribution and product use, is</w:t>
      </w:r>
      <w:r>
        <w:t xml:space="preserve"> </w:t>
      </w:r>
      <w:r>
        <w:rPr>
          <w:bCs/>
          <w:b/>
        </w:rPr>
        <w:t xml:space="preserve">Europe Focused</w:t>
      </w:r>
      <w:r>
        <w:t xml:space="preserve">.</w:t>
      </w:r>
    </w:p>
    <w:bookmarkEnd w:id="27"/>
    <w:bookmarkStart w:id="28" w:name="allocation"/>
    <w:p>
      <w:pPr>
        <w:pStyle w:val="Heading3"/>
      </w:pPr>
      <w:r>
        <w:t xml:space="preserve">Allocation</w:t>
      </w:r>
    </w:p>
    <w:p>
      <w:pPr>
        <w:pStyle w:val="FirstParagraph"/>
      </w:pPr>
      <w:r>
        <w:t xml:space="preserve">Emissions are allocated based on mass for material inputs and on energy consumption for manufacturing and use phases. For transport, allocation is based on tonne-kilometers.</w:t>
      </w:r>
    </w:p>
    <w:p>
      <w:r>
        <w:pict>
          <v:rect style="width:0;height:1.5pt" o:hralign="center" o:hrstd="t" o:hr="t"/>
        </w:pict>
      </w:r>
    </w:p>
    <w:bookmarkEnd w:id="28"/>
    <w:bookmarkEnd w:id="29"/>
    <w:bookmarkStart w:id="36" w:name="X9b3f95e3515408304ff4a9cec9842f2424d7a20"/>
    <w:p>
      <w:pPr>
        <w:pStyle w:val="Heading2"/>
      </w:pPr>
      <w:r>
        <w:t xml:space="preserve">2. Map Lifecycle (LCI Inventory Stages) &amp; 3. Collect Data (Primary/Secondary Data Points)</w:t>
      </w:r>
    </w:p>
    <w:p>
      <w:pPr>
        <w:pStyle w:val="FirstParagraph"/>
      </w:pPr>
      <w:r>
        <w:t xml:space="preserve">The lifecycle of the EcoSmart Device v2.0 is mapped through the following stages, with data collected from provided parameters and industry standards.</w:t>
      </w:r>
    </w:p>
    <w:bookmarkStart w:id="31" w:name="X2e9ec2bbed9cf1d7b4c3978bd4f1b78c55d8b27"/>
    <w:p>
      <w:pPr>
        <w:pStyle w:val="Heading3"/>
      </w:pPr>
      <w:r>
        <w:t xml:space="preserve">Material Acquisition and Manufacturing (Upstream - Scope 3)</w:t>
      </w:r>
    </w:p>
    <w:p>
      <w:pPr>
        <w:pStyle w:val="FirstParagraph"/>
      </w:pPr>
      <w:r>
        <w:t xml:space="preserve">The detailed Bill of Materials (BOM) was used to quantify material inputs and their associated upstream emissions.</w:t>
      </w:r>
    </w:p>
    <w:bookmarkStart w:id="30" w:name="Xc11eabc581774d91b3eb3985725ff1dabe1930f"/>
    <w:p>
      <w:pPr>
        <w:pStyle w:val="Heading4"/>
      </w:pPr>
      <w:r>
        <w:t xml:space="preserve">Detailed Bill of Materials (BOM) for EcoSmart Device v2.0</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Wiring Harness</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p>
            <w:pPr>
              <w:pStyle w:val="Compact"/>
              <w:jc w:val="left"/>
            </w:pPr>
            <w:r>
              <w:t xml:space="preserve">6</w:t>
            </w:r>
          </w:p>
        </w:tc>
        <w:tc>
          <w:tcPr/>
          <w:p>
            <w:pPr>
              <w:pStyle w:val="Compact"/>
              <w:jc w:val="left"/>
            </w:pPr>
            <w:r>
              <w:t xml:space="preserve">Batteries (Li-ion)</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10.0</w:t>
            </w:r>
          </w:p>
        </w:tc>
        <w:tc>
          <w:tcPr/>
          <w:p>
            <w:pPr>
              <w:pStyle w:val="Compact"/>
              <w:jc w:val="left"/>
            </w:pPr>
            <w:r>
              <w:t xml:space="preserve">0.8</w:t>
            </w:r>
          </w:p>
        </w:tc>
      </w:tr>
    </w:tbl>
    <w:p>
      <w:pPr>
        <w:pStyle w:val="BodyText"/>
      </w:pPr>
      <w:r>
        <w:rPr>
          <w:bCs/>
          <w:b/>
        </w:rPr>
        <w:t xml:space="preserve">Total Product Mass:</w:t>
      </w:r>
      <w:r>
        <w:t xml:space="preserve"> </w:t>
      </w:r>
      <w:r>
        <w:t xml:space="preserve">1.23 kg</w:t>
      </w:r>
    </w:p>
    <w:p>
      <w:pPr>
        <w:pStyle w:val="BodyText"/>
      </w:pPr>
      <w:r>
        <w:rPr>
          <w:bCs/>
          <w:b/>
        </w:rPr>
        <w:t xml:space="preserve">Total Material Acquisition Emissions:</w:t>
      </w:r>
      <w:r>
        <w:t xml:space="preserve"> </w:t>
      </w:r>
      <w:r>
        <w:t xml:space="preserve">7.35 kg CO2e</w:t>
      </w:r>
    </w:p>
    <w:bookmarkEnd w:id="30"/>
    <w:bookmarkEnd w:id="31"/>
    <w:bookmarkStart w:id="32" w:name="production-phase-core---scope-2"/>
    <w:p>
      <w:pPr>
        <w:pStyle w:val="Heading3"/>
      </w:pPr>
      <w:r>
        <w:t xml:space="preserve">Production Phase (Core - Scope 2)</w:t>
      </w:r>
    </w:p>
    <w:p>
      <w:pPr>
        <w:pStyle w:val="FirstParagraph"/>
      </w:pPr>
      <w:r>
        <w:t xml:space="preserve">Energy consumption during the manufacturing of the EcoSmart Device v2.0 in China.</w:t>
      </w:r>
    </w:p>
    <w:p>
      <w:pPr>
        <w:numPr>
          <w:ilvl w:val="0"/>
          <w:numId w:val="1003"/>
        </w:numPr>
        <w:pStyle w:val="Compact"/>
      </w:pPr>
      <w:r>
        <w:rPr>
          <w:bCs/>
          <w:b/>
        </w:rPr>
        <w:t xml:space="preserve">Energy Intensity (kWh/unit):</w:t>
      </w:r>
      <w:r>
        <w:t xml:space="preserve"> </w:t>
      </w:r>
      <w:r>
        <w:t xml:space="preserve">3.2 kWh/unit</w:t>
      </w:r>
    </w:p>
    <w:p>
      <w:pPr>
        <w:numPr>
          <w:ilvl w:val="0"/>
          <w:numId w:val="1003"/>
        </w:numPr>
        <w:pStyle w:val="Compact"/>
      </w:pPr>
      <w:r>
        <w:rPr>
          <w:bCs/>
          <w:b/>
        </w:rPr>
        <w:t xml:space="preserve">Renewable Energy Usage:</w:t>
      </w:r>
      <w:r>
        <w:t xml:space="preserve"> </w:t>
      </w:r>
      <w:r>
        <w:t xml:space="preserve">60%</w:t>
      </w:r>
    </w:p>
    <w:p>
      <w:pPr>
        <w:numPr>
          <w:ilvl w:val="0"/>
          <w:numId w:val="1003"/>
        </w:numPr>
        <w:pStyle w:val="Compact"/>
      </w:pPr>
      <w:r>
        <w:rPr>
          <w:bCs/>
          <w:b/>
        </w:rPr>
        <w:t xml:space="preserve">Non-renewable Energy Consumption:</w:t>
      </w:r>
      <w:r>
        <w:t xml:space="preserve"> </w:t>
      </w:r>
      <w:r>
        <w:t xml:space="preserve">3.2 kWh/unit * (1 - 0.60) = 1.28 kWh/unit</w:t>
      </w:r>
    </w:p>
    <w:p>
      <w:pPr>
        <w:numPr>
          <w:ilvl w:val="0"/>
          <w:numId w:val="1003"/>
        </w:numPr>
        <w:pStyle w:val="Compact"/>
      </w:pPr>
      <w:r>
        <w:rPr>
          <w:bCs/>
          <w:b/>
        </w:rPr>
        <w:t xml:space="preserve">Electricity Grid Emission Factor (China, 2023):</w:t>
      </w:r>
      <w:r>
        <w:t xml:space="preserve"> </w:t>
      </w:r>
      <w:r>
        <w:t xml:space="preserve">0.62 kg CO2e/kWh</w:t>
      </w:r>
    </w:p>
    <w:bookmarkEnd w:id="32"/>
    <w:bookmarkStart w:id="33" w:name="X11f5d096783fb9d2822b064c95541c3fbb06886"/>
    <w:p>
      <w:pPr>
        <w:pStyle w:val="Heading3"/>
      </w:pPr>
      <w:r>
        <w:t xml:space="preserve">Transportation (Upstream &amp; Downstream - Scope 3)</w:t>
      </w:r>
    </w:p>
    <w:p>
      <w:pPr>
        <w:pStyle w:val="FirstParagraph"/>
      </w:pPr>
      <w:r>
        <w:t xml:space="preserve">Logistics data was incorporated for both inbound raw materials (implicitly covered in material emissions\' total carbon) and outbound finished products.</w:t>
      </w:r>
    </w:p>
    <w:p>
      <w:pPr>
        <w:numPr>
          <w:ilvl w:val="0"/>
          <w:numId w:val="1004"/>
        </w:numPr>
        <w:pStyle w:val="Compact"/>
      </w:pPr>
      <w:r>
        <w:rPr>
          <w:bCs/>
          <w:b/>
        </w:rPr>
        <w:t xml:space="preserve">Main Transport Mode (from China to Europe):</w:t>
      </w:r>
      <w:r>
        <w:t xml:space="preserve"> </w:t>
      </w:r>
      <w:r>
        <w:t xml:space="preserve">Ocean Freight (Container Ship)</w:t>
      </w:r>
    </w:p>
    <w:p>
      <w:pPr>
        <w:numPr>
          <w:ilvl w:val="0"/>
          <w:numId w:val="1004"/>
        </w:numPr>
        <w:pStyle w:val="Compact"/>
      </w:pPr>
      <w:r>
        <w:rPr>
          <w:bCs/>
          <w:b/>
        </w:rPr>
        <w:t xml:space="preserve">Main Transport Distance:</w:t>
      </w:r>
      <w:r>
        <w:t xml:space="preserve"> </w:t>
      </w:r>
      <w:r>
        <w:t xml:space="preserve">12,000 km</w:t>
      </w:r>
    </w:p>
    <w:p>
      <w:pPr>
        <w:numPr>
          <w:ilvl w:val="0"/>
          <w:numId w:val="1004"/>
        </w:numPr>
        <w:pStyle w:val="Compact"/>
      </w:pPr>
      <w:r>
        <w:rPr>
          <w:bCs/>
          <w:b/>
        </w:rPr>
        <w:t xml:space="preserve">Last-Mile Delivery Channel (within Europe):</w:t>
      </w:r>
      <w:r>
        <w:t xml:space="preserve"> </w:t>
      </w:r>
      <w:r>
        <w:t xml:space="preserve">Road Freight (Light Duty Vehicle)</w:t>
      </w:r>
    </w:p>
    <w:p>
      <w:pPr>
        <w:numPr>
          <w:ilvl w:val="0"/>
          <w:numId w:val="1004"/>
        </w:numPr>
        <w:pStyle w:val="Compact"/>
      </w:pPr>
      <w:r>
        <w:rPr>
          <w:bCs/>
          <w:b/>
        </w:rPr>
        <w:t xml:space="preserve">Assumed Last-Mile Delivery Distance:</w:t>
      </w:r>
      <w:r>
        <w:t xml:space="preserve"> </w:t>
      </w:r>
      <w:r>
        <w:t xml:space="preserve">500 km</w:t>
      </w:r>
    </w:p>
    <w:p>
      <w:pPr>
        <w:numPr>
          <w:ilvl w:val="0"/>
          <w:numId w:val="1004"/>
        </w:numPr>
        <w:pStyle w:val="Compact"/>
      </w:pPr>
      <w:r>
        <w:rPr>
          <w:bCs/>
          <w:b/>
        </w:rPr>
        <w:t xml:space="preserve">Ocean Freight Emission Factor:</w:t>
      </w:r>
      <w:r>
        <w:t xml:space="preserve"> </w:t>
      </w:r>
      <w:r>
        <w:t xml:space="preserve">0.016 kg CO2e/tonne-km</w:t>
      </w:r>
    </w:p>
    <w:p>
      <w:pPr>
        <w:numPr>
          <w:ilvl w:val="0"/>
          <w:numId w:val="1004"/>
        </w:numPr>
        <w:pStyle w:val="Compact"/>
      </w:pPr>
      <w:r>
        <w:rPr>
          <w:bCs/>
          <w:b/>
        </w:rPr>
        <w:t xml:space="preserve">Road Freight Emission Factor:</w:t>
      </w:r>
      <w:r>
        <w:t xml:space="preserve"> </w:t>
      </w:r>
      <w:r>
        <w:t xml:space="preserve">0.09 kg CO2e/tonne-km (estimated for light duty freight)</w:t>
      </w:r>
    </w:p>
    <w:bookmarkEnd w:id="33"/>
    <w:bookmarkStart w:id="34" w:name="use-phase-downstream---scope-3"/>
    <w:p>
      <w:pPr>
        <w:pStyle w:val="Heading3"/>
      </w:pPr>
      <w:r>
        <w:t xml:space="preserve">Use Phase (Downstream - Scope 3)</w:t>
      </w:r>
    </w:p>
    <w:p>
      <w:pPr>
        <w:pStyle w:val="FirstParagraph"/>
      </w:pPr>
      <w:r>
        <w:t xml:space="preserve">Energy consumption over the product\'s expected lifespan.</w:t>
      </w:r>
    </w:p>
    <w:p>
      <w:pPr>
        <w:numPr>
          <w:ilvl w:val="0"/>
          <w:numId w:val="1005"/>
        </w:numPr>
        <w:pStyle w:val="Compact"/>
      </w:pPr>
      <w:r>
        <w:rPr>
          <w:bCs/>
          <w:b/>
        </w:rPr>
        <w:t xml:space="preserve">Product Lifespan:</w:t>
      </w:r>
      <w:r>
        <w:t xml:space="preserve"> </w:t>
      </w:r>
      <w:r>
        <w:t xml:space="preserve">7 years</w:t>
      </w:r>
    </w:p>
    <w:p>
      <w:pPr>
        <w:numPr>
          <w:ilvl w:val="0"/>
          <w:numId w:val="1005"/>
        </w:numPr>
        <w:pStyle w:val="Compact"/>
      </w:pPr>
      <w:r>
        <w:rPr>
          <w:bCs/>
          <w:b/>
        </w:rPr>
        <w:t xml:space="preserve">Energy Consumption in Use:</w:t>
      </w:r>
      <w:r>
        <w:t xml:space="preserve"> </w:t>
      </w:r>
      <w:r>
        <w:t xml:space="preserve">8 kWh/year</w:t>
      </w:r>
    </w:p>
    <w:p>
      <w:pPr>
        <w:numPr>
          <w:ilvl w:val="0"/>
          <w:numId w:val="1005"/>
        </w:numPr>
        <w:pStyle w:val="Compact"/>
      </w:pPr>
      <w:r>
        <w:rPr>
          <w:bCs/>
          <w:b/>
        </w:rPr>
        <w:t xml:space="preserve">Electricity Grid Emission Factor (Europe, 2023):</w:t>
      </w:r>
      <w:r>
        <w:t xml:space="preserve"> </w:t>
      </w:r>
      <w:r>
        <w:t xml:space="preserve">0.211 kg CO2e/kWh</w:t>
      </w:r>
    </w:p>
    <w:bookmarkEnd w:id="34"/>
    <w:bookmarkStart w:id="35" w:name="Xbd5ce2581a055ba0d05236edb0e67e8783fa2ac"/>
    <w:p>
      <w:pPr>
        <w:pStyle w:val="Heading3"/>
      </w:pPr>
      <w:r>
        <w:t xml:space="preserve">End-of-Life (EoL) Scenarios (Downstream - Scope 3)</w:t>
      </w:r>
    </w:p>
    <w:p>
      <w:pPr>
        <w:pStyle w:val="FirstParagraph"/>
      </w:pPr>
      <w:r>
        <w:t xml:space="preserve">The end-of-life treatment considers recyclability and circular economy programs.</w:t>
      </w:r>
    </w:p>
    <w:p>
      <w:pPr>
        <w:numPr>
          <w:ilvl w:val="0"/>
          <w:numId w:val="1006"/>
        </w:numPr>
        <w:pStyle w:val="Compact"/>
      </w:pPr>
      <w:r>
        <w:rPr>
          <w:bCs/>
          <w:b/>
        </w:rPr>
        <w:t xml:space="preserve">Recyclability Percentage:</w:t>
      </w:r>
      <w:r>
        <w:t xml:space="preserve"> </w:t>
      </w:r>
      <w:r>
        <w:t xml:space="preserve">85%</w:t>
      </w:r>
    </w:p>
    <w:p>
      <w:pPr>
        <w:numPr>
          <w:ilvl w:val="0"/>
          <w:numId w:val="1006"/>
        </w:numPr>
        <w:pStyle w:val="Compact"/>
      </w:pPr>
      <w:r>
        <w:rPr>
          <w:bCs/>
          <w:b/>
        </w:rPr>
        <w:t xml:space="preserve">Circular/Take-back Programs:</w:t>
      </w:r>
      <w:r>
        <w:t xml:space="preserve"> </w:t>
      </w:r>
      <w:r>
        <w:t xml:space="preserve">Established regional take-back program for electronics</w:t>
      </w:r>
    </w:p>
    <w:p>
      <w:pPr>
        <w:numPr>
          <w:ilvl w:val="0"/>
          <w:numId w:val="1006"/>
        </w:numPr>
        <w:pStyle w:val="Compact"/>
      </w:pPr>
      <w:r>
        <w:rPr>
          <w:bCs/>
          <w:b/>
        </w:rPr>
        <w:t xml:space="preserve">Assumed Recycling Credit:</w:t>
      </w:r>
      <w:r>
        <w:t xml:space="preserve"> </w:t>
      </w:r>
      <w:r>
        <w:t xml:space="preserve">-1.0 kg CO2e/kg (avoided virgin material production)</w:t>
      </w:r>
    </w:p>
    <w:p>
      <w:pPr>
        <w:numPr>
          <w:ilvl w:val="0"/>
          <w:numId w:val="1006"/>
        </w:numPr>
        <w:pStyle w:val="Compact"/>
      </w:pPr>
      <w:r>
        <w:rPr>
          <w:bCs/>
          <w:b/>
        </w:rPr>
        <w:t xml:space="preserve">Assumed Disposal (landfill/incineration) Factor:</w:t>
      </w:r>
      <w:r>
        <w:t xml:space="preserve"> </w:t>
      </w:r>
      <w:r>
        <w:t xml:space="preserve">0.5 kg CO2e/kg</w:t>
      </w:r>
    </w:p>
    <w:p>
      <w:r>
        <w:pict>
          <v:rect style="width:0;height:1.5pt" o:hralign="center" o:hrstd="t" o:hr="t"/>
        </w:pict>
      </w:r>
    </w:p>
    <w:bookmarkEnd w:id="35"/>
    <w:bookmarkEnd w:id="36"/>
    <w:bookmarkStart w:id="45"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product\'s lifecycle, categorized according to the GHG Protocol. The 2026 Land Sector and Removals (LSR) Standard is acknowledged, though specific land use change data for raw materials was not provided within the BOM\'s scope and is assumed to be incorporated into generic emission factors. We ensure greater than 95% coverage for Scope 3 reporting, as required by 2026 guidelines.</w:t>
      </w:r>
    </w:p>
    <w:bookmarkStart w:id="37" w:name="ghg-protocol-emission-categorization"/>
    <w:p>
      <w:pPr>
        <w:pStyle w:val="Heading3"/>
      </w:pPr>
      <w:r>
        <w:t xml:space="preserve">GHG Protocol Emission Categorization</w:t>
      </w:r>
    </w:p>
    <w:p>
      <w:pPr>
        <w:numPr>
          <w:ilvl w:val="0"/>
          <w:numId w:val="1007"/>
        </w:numPr>
        <w:pStyle w:val="Compact"/>
      </w:pPr>
      <w:r>
        <w:rPr>
          <w:bCs/>
          <w:b/>
        </w:rPr>
        <w:t xml:space="preserve">Scope 1 (Direct Emissions):</w:t>
      </w:r>
      <w:r>
        <w:t xml:space="preserve"> </w:t>
      </w:r>
      <w:r>
        <w:t xml:space="preserve">Emissions from sources owned or controlled by GlobalTech Innovations. For this product PCF, direct combustion emissions at the production facility are assumed to be negligible or covered within purchased energy factors.</w:t>
      </w:r>
    </w:p>
    <w:p>
      <w:pPr>
        <w:numPr>
          <w:ilvl w:val="0"/>
          <w:numId w:val="1007"/>
        </w:numPr>
        <w:pStyle w:val="Compact"/>
      </w:pPr>
      <w:r>
        <w:rPr>
          <w:bCs/>
          <w:b/>
        </w:rPr>
        <w:t xml:space="preserve">Scope 2 (Energy Indirect Emissions):</w:t>
      </w:r>
      <w:r>
        <w:t xml:space="preserve"> </w:t>
      </w:r>
      <w:r>
        <w:t xml:space="preserve">Emissions from the generation of purchased electricity, heat, or steam consumed by GlobalTech Innovations.</w:t>
      </w:r>
    </w:p>
    <w:p>
      <w:pPr>
        <w:numPr>
          <w:ilvl w:val="0"/>
          <w:numId w:val="1007"/>
        </w:numPr>
        <w:pStyle w:val="Compact"/>
      </w:pPr>
      <w:r>
        <w:rPr>
          <w:bCs/>
          <w:b/>
        </w:rPr>
        <w:t xml:space="preserve">Scope 3 (Other Indirect Emissions):</w:t>
      </w:r>
      <w:r>
        <w:t xml:space="preserve"> </w:t>
      </w:r>
      <w:r>
        <w:t xml:space="preserve">All other indirect emissions that occur in the value chain of GlobalTech Innovations, both upstream and downstream. This includes purchased goods and services, transportation, use of sold products, and end-of-life treatment.</w:t>
      </w:r>
    </w:p>
    <w:bookmarkEnd w:id="37"/>
    <w:bookmarkStart w:id="43" w:name="calculated-emissions-by-lifecycle-stage"/>
    <w:p>
      <w:pPr>
        <w:pStyle w:val="Heading3"/>
      </w:pPr>
      <w:r>
        <w:t xml:space="preserve">Calculated Emissions by Lifecycle Stage:</w:t>
      </w:r>
    </w:p>
    <w:bookmarkStart w:id="38" w:name="Xbe0358e8292f42e5e385066c48e8d6cb3d803eb"/>
    <w:p>
      <w:pPr>
        <w:pStyle w:val="Heading4"/>
      </w:pPr>
      <w:r>
        <w:t xml:space="preserve">1. Material Acquisition (Scope 3, Category 1: Purchased Goods and Services)</w:t>
      </w:r>
    </w:p>
    <w:p>
      <w:pPr>
        <w:pStyle w:val="FirstParagraph"/>
      </w:pPr>
      <w:r>
        <w:t xml:space="preserve">Based on the "Total Carbon" values provided in the Detailed BOM.</w:t>
      </w:r>
    </w:p>
    <w:p>
      <w:pPr>
        <w:pStyle w:val="BodyText"/>
      </w:pPr>
      <w:r>
        <w:rPr>
          <w:bCs/>
          <w:b/>
        </w:rPr>
        <w:t xml:space="preserve">Total Material Emissions:</w:t>
      </w:r>
      <w:r>
        <w:t xml:space="preserve"> </w:t>
      </w:r>
      <w:r>
        <w:t xml:space="preserve">7.35 kg CO2e</w:t>
      </w:r>
    </w:p>
    <w:bookmarkEnd w:id="38"/>
    <w:bookmarkStart w:id="39" w:name="production-energy-scope-2"/>
    <w:p>
      <w:pPr>
        <w:pStyle w:val="Heading4"/>
      </w:pPr>
      <w:r>
        <w:t xml:space="preserve">2. Production Energy (Scope 2)</w:t>
      </w:r>
    </w:p>
    <w:p>
      <w:pPr>
        <w:pStyle w:val="FirstParagraph"/>
      </w:pPr>
      <w:r>
        <w:t xml:space="preserve">Calculated based on non-renewable electricity consumption during manufacturing in China.</w:t>
      </w:r>
    </w:p>
    <w:p>
      <w:pPr>
        <w:pStyle w:val="BodyText"/>
      </w:pPr>
      <w:r>
        <w:t xml:space="preserve">Emissions = Non-renewable energy consumption * China Electricity Grid Emission Factor</w:t>
      </w:r>
      <w:r>
        <w:br/>
      </w:r>
      <w:r>
        <w:t xml:space="preserve">Emissions = 1.28 kWh/unit * 0.62 kg CO2e/kWh =</w:t>
      </w:r>
      <w:r>
        <w:t xml:space="preserve"> </w:t>
      </w:r>
      <w:r>
        <w:rPr>
          <w:bCs/>
          <w:b/>
        </w:rPr>
        <w:t xml:space="preserve">0.79 kg CO2e</w:t>
      </w:r>
    </w:p>
    <w:bookmarkEnd w:id="39"/>
    <w:bookmarkStart w:id="40" w:name="X66a36ae85848385f2847b9ddf6b9833f7def8ed"/>
    <w:p>
      <w:pPr>
        <w:pStyle w:val="Heading4"/>
      </w:pPr>
      <w:r>
        <w:t xml:space="preserve">3. Transportation (Scope 3, Category 4: Upstream Transportation and Distribution &amp; Category 9: Downstream Transportation and Distribution)</w:t>
      </w:r>
    </w:p>
    <w:p>
      <w:pPr>
        <w:pStyle w:val="FirstParagraph"/>
      </w:pPr>
      <w:r>
        <w:t xml:space="preserve">Calculated for main transport from China to Europe and last-mile delivery within Europe.</w:t>
      </w:r>
    </w:p>
    <w:p>
      <w:pPr>
        <w:numPr>
          <w:ilvl w:val="0"/>
          <w:numId w:val="1008"/>
        </w:numPr>
      </w:pPr>
      <w:r>
        <w:rPr>
          <w:bCs/>
          <w:b/>
        </w:rPr>
        <w:t xml:space="preserve">Main Transport (Ocean Freight):</w:t>
      </w:r>
    </w:p>
    <w:p>
      <w:pPr>
        <w:numPr>
          <w:ilvl w:val="0"/>
          <w:numId w:val="1000"/>
        </w:numPr>
      </w:pPr>
      <w:r>
        <w:t xml:space="preserve">Emissions = Product Mass (tonnes) * Distance (km) * Ocean Freight Emission Factor</w:t>
      </w:r>
      <w:r>
        <w:br/>
      </w:r>
      <w:r>
        <w:t xml:space="preserve">Emissions = 0.00123 tonnes * 12,000 km * 0.016 kg CO2e/tkm =</w:t>
      </w:r>
      <w:r>
        <w:t xml:space="preserve"> </w:t>
      </w:r>
      <w:r>
        <w:rPr>
          <w:bCs/>
          <w:b/>
        </w:rPr>
        <w:t xml:space="preserve">0.24 kg CO2e</w:t>
      </w:r>
    </w:p>
    <w:p>
      <w:pPr>
        <w:numPr>
          <w:ilvl w:val="0"/>
          <w:numId w:val="1008"/>
        </w:numPr>
      </w:pPr>
      <w:r>
        <w:rPr>
          <w:bCs/>
          <w:b/>
        </w:rPr>
        <w:t xml:space="preserve">Last-Mile Delivery (Road Freight):</w:t>
      </w:r>
    </w:p>
    <w:p>
      <w:pPr>
        <w:numPr>
          <w:ilvl w:val="0"/>
          <w:numId w:val="1000"/>
        </w:numPr>
      </w:pPr>
      <w:r>
        <w:t xml:space="preserve">Emissions = Product Mass (tonnes) * Distance (km) * Road Freight Emission Factor</w:t>
      </w:r>
      <w:r>
        <w:br/>
      </w:r>
      <w:r>
        <w:t xml:space="preserve">Emissions = 0.00123 tonnes * 500 km * 0.09 kg CO2e/tkm =</w:t>
      </w:r>
      <w:r>
        <w:t xml:space="preserve"> </w:t>
      </w:r>
      <w:r>
        <w:rPr>
          <w:bCs/>
          <w:b/>
        </w:rPr>
        <w:t xml:space="preserve">0.06 kg CO2e</w:t>
      </w:r>
    </w:p>
    <w:p>
      <w:pPr>
        <w:pStyle w:val="FirstParagraph"/>
      </w:pPr>
      <w:r>
        <w:rPr>
          <w:bCs/>
          <w:b/>
        </w:rPr>
        <w:t xml:space="preserve">Total Transportation Emissions:</w:t>
      </w:r>
      <w:r>
        <w:t xml:space="preserve"> </w:t>
      </w:r>
      <w:r>
        <w:t xml:space="preserve">0.24 kg + 0.06 kg = 0.30 kg CO2e</w:t>
      </w:r>
    </w:p>
    <w:bookmarkEnd w:id="40"/>
    <w:bookmarkStart w:id="41" w:name="Xc8d47610e025d3b1fe367d676386ecee874efa3"/>
    <w:p>
      <w:pPr>
        <w:pStyle w:val="Heading4"/>
      </w:pPr>
      <w:r>
        <w:t xml:space="preserve">4. Use Phase (Scope 3, Category 11: Use of Sold Products)</w:t>
      </w:r>
    </w:p>
    <w:p>
      <w:pPr>
        <w:pStyle w:val="FirstParagraph"/>
      </w:pPr>
      <w:r>
        <w:t xml:space="preserve">Calculated based on energy consumption over the product\'s lifespan in Europe.</w:t>
      </w:r>
    </w:p>
    <w:p>
      <w:pPr>
        <w:pStyle w:val="BodyText"/>
      </w:pPr>
      <w:r>
        <w:t xml:space="preserve">Emissions = Total Use Phase Energy * Europe Electricity Grid Emission Factor</w:t>
      </w:r>
      <w:r>
        <w:br/>
      </w:r>
      <w:r>
        <w:t xml:space="preserve">Emissions = (8 kWh/year * 7 years) * 0.211 kg CO2e/kWh = 56 kWh * 0.211 kg CO2e/kWh =</w:t>
      </w:r>
      <w:r>
        <w:t xml:space="preserve"> </w:t>
      </w:r>
      <w:r>
        <w:rPr>
          <w:bCs/>
          <w:b/>
        </w:rPr>
        <w:t xml:space="preserve">11.82 kg CO2e</w:t>
      </w:r>
    </w:p>
    <w:bookmarkEnd w:id="41"/>
    <w:bookmarkStart w:id="42" w:name="X00103e6ba7abe8d5263ba73086dccce71b32206"/>
    <w:p>
      <w:pPr>
        <w:pStyle w:val="Heading4"/>
      </w:pPr>
      <w:r>
        <w:t xml:space="preserve">5. End-of-Life Treatment (Scope 3, Category 12: End-of-Life Treatment of Sold Products)</w:t>
      </w:r>
    </w:p>
    <w:p>
      <w:pPr>
        <w:pStyle w:val="FirstParagraph"/>
      </w:pPr>
      <w:r>
        <w:t xml:space="preserve">Calculated based on recyclability and disposal scenarios.</w:t>
      </w:r>
    </w:p>
    <w:p>
      <w:pPr>
        <w:pStyle w:val="BodyText"/>
      </w:pPr>
      <w:r>
        <w:t xml:space="preserve">Recycling Credit = 1.23 kg * 0.85 * (-1.0 kg CO2e/kg) = -1.05 kg CO2e</w:t>
      </w:r>
      <w:r>
        <w:br/>
      </w:r>
      <w:r>
        <w:t xml:space="preserve">Disposal Emissions = 1.23 kg * 0.15 * (0.5 kg CO2e/kg) = 0.09 kg CO2e</w:t>
      </w:r>
      <w:r>
        <w:br/>
      </w:r>
      <w:r>
        <w:rPr>
          <w:bCs/>
          <w:b/>
        </w:rPr>
        <w:t xml:space="preserve">Total End-of-Life Emissions:</w:t>
      </w:r>
      <w:r>
        <w:t xml:space="preserve"> </w:t>
      </w:r>
      <w:r>
        <w:t xml:space="preserve">-1.05 kg + 0.09 kg =</w:t>
      </w:r>
      <w:r>
        <w:t xml:space="preserve"> </w:t>
      </w:r>
      <w:r>
        <w:rPr>
          <w:bCs/>
          <w:b/>
        </w:rPr>
        <w:t xml:space="preserve">-0.96 kg CO2e</w:t>
      </w:r>
    </w:p>
    <w:p>
      <w:r>
        <w:pict>
          <v:rect style="width:0;height:1.5pt" o:hralign="center" o:hrstd="t" o:hr="t"/>
        </w:pict>
      </w:r>
    </w:p>
    <w:bookmarkEnd w:id="42"/>
    <w:bookmarkEnd w:id="43"/>
    <w:bookmarkStart w:id="44"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w:t>
            </w:r>
          </w:p>
        </w:tc>
        <w:tc>
          <w:tcPr/>
          <w:p>
            <w:pPr>
              <w:pStyle w:val="Compact"/>
              <w:jc w:val="left"/>
            </w:pPr>
            <w:r>
              <w:t xml:space="preserve">Scope 3</w:t>
            </w:r>
          </w:p>
        </w:tc>
        <w:tc>
          <w:tcPr/>
          <w:p>
            <w:pPr>
              <w:pStyle w:val="Compact"/>
              <w:jc w:val="left"/>
            </w:pPr>
            <w:r>
              <w:t xml:space="preserve">7.35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0.79</w:t>
            </w:r>
          </w:p>
        </w:tc>
      </w:tr>
      <w:tr>
        <w:tc>
          <w:tcPr/>
          <w:p>
            <w:pPr>
              <w:pStyle w:val="Compact"/>
              <w:jc w:val="left"/>
            </w:pPr>
            <w:r>
              <w:t xml:space="preserve">Transportation</w:t>
            </w:r>
          </w:p>
        </w:tc>
        <w:tc>
          <w:tcPr/>
          <w:p>
            <w:pPr>
              <w:pStyle w:val="Compact"/>
              <w:jc w:val="left"/>
            </w:pPr>
            <w:r>
              <w:t xml:space="preserve">Scope 3</w:t>
            </w:r>
          </w:p>
        </w:tc>
        <w:tc>
          <w:tcPr/>
          <w:p>
            <w:pPr>
              <w:pStyle w:val="Compact"/>
              <w:jc w:val="left"/>
            </w:pPr>
            <w:r>
              <w:t xml:space="preserve">0.30</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11.82</w:t>
            </w:r>
          </w:p>
        </w:tc>
      </w:tr>
      <w:tr>
        <w:tc>
          <w:tcPr/>
          <w:p>
            <w:pPr>
              <w:pStyle w:val="Compact"/>
              <w:jc w:val="left"/>
            </w:pPr>
            <w:r>
              <w:t xml:space="preserve">End-of-Life Treatment</w:t>
            </w:r>
          </w:p>
        </w:tc>
        <w:tc>
          <w:tcPr/>
          <w:p>
            <w:pPr>
              <w:pStyle w:val="Compact"/>
              <w:jc w:val="left"/>
            </w:pPr>
            <w:r>
              <w:t xml:space="preserve">Scope 3</w:t>
            </w:r>
          </w:p>
        </w:tc>
        <w:tc>
          <w:tcPr/>
          <w:p>
            <w:pPr>
              <w:pStyle w:val="Compact"/>
              <w:jc w:val="left"/>
            </w:pPr>
            <w:r>
              <w:t xml:space="preserve">-0.96</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19.30</w:t>
            </w:r>
          </w:p>
        </w:tc>
      </w:tr>
    </w:tbl>
    <w:p>
      <w:pPr>
        <w:pStyle w:val="BodyText"/>
      </w:pPr>
      <w:r>
        <w:rPr>
          <w:bCs/>
          <w:b/>
        </w:rPr>
        <w:t xml:space="preserve">The total Product Carbon Footprint for one unit of EcoSmart Device v2.0 is 19.30 kg CO2e.</w:t>
      </w:r>
    </w:p>
    <w:p>
      <w:r>
        <w:pict>
          <v:rect style="width:0;height:1.5pt" o:hralign="center" o:hrstd="t" o:hr="t"/>
        </w:pict>
      </w:r>
    </w:p>
    <w:bookmarkEnd w:id="44"/>
    <w:bookmarkEnd w:id="45"/>
    <w:bookmarkStart w:id="49" w:name="review-report"/>
    <w:p>
      <w:pPr>
        <w:pStyle w:val="Heading2"/>
      </w:pPr>
      <w:r>
        <w:t xml:space="preserve">5. Review &amp; Report</w:t>
      </w:r>
    </w:p>
    <w:bookmarkStart w:id="46" w:name="hotspots-identification"/>
    <w:p>
      <w:pPr>
        <w:pStyle w:val="Heading3"/>
      </w:pPr>
      <w:r>
        <w:t xml:space="preserve">Hotspots Identification</w:t>
      </w:r>
    </w:p>
    <w:p>
      <w:pPr>
        <w:pStyle w:val="FirstParagraph"/>
      </w:pPr>
      <w:r>
        <w:t xml:space="preserve">Based on this analysis, the primary emission hotspots for the EcoSmart Device v2.0 are:</w:t>
      </w:r>
    </w:p>
    <w:p>
      <w:pPr>
        <w:numPr>
          <w:ilvl w:val="0"/>
          <w:numId w:val="1009"/>
        </w:numPr>
        <w:pStyle w:val="Compact"/>
      </w:pPr>
      <w:r>
        <w:rPr>
          <w:bCs/>
          <w:b/>
        </w:rPr>
        <w:t xml:space="preserve">Use Phase (11.82 kg CO2e):</w:t>
      </w:r>
      <w:r>
        <w:t xml:space="preserve"> </w:t>
      </w:r>
      <w:r>
        <w:t xml:space="preserve">This stage accounts for approximately 61% of the total PCF. The electricity consumption during the 7-year lifespan, even with Europe\'s relatively cleaner grid, is a significant contributor.</w:t>
      </w:r>
    </w:p>
    <w:p>
      <w:pPr>
        <w:numPr>
          <w:ilvl w:val="0"/>
          <w:numId w:val="1009"/>
        </w:numPr>
        <w:pStyle w:val="Compact"/>
      </w:pPr>
      <w:r>
        <w:rPr>
          <w:bCs/>
          <w:b/>
        </w:rPr>
        <w:t xml:space="preserve">Material Acquisition (7.35 kg CO2e):</w:t>
      </w:r>
      <w:r>
        <w:t xml:space="preserve"> </w:t>
      </w:r>
      <w:r>
        <w:t xml:space="preserve">Representing about 38% of the total PCF, the raw materials and their upstream processing, particularly the aluminum casing, circuit board, and batteries, contribute substantially.</w:t>
      </w:r>
    </w:p>
    <w:p>
      <w:pPr>
        <w:pStyle w:val="FirstParagraph"/>
      </w:pPr>
      <w:r>
        <w:t xml:space="preserve">Transportation (1.5%) and Production Energy (4.1%) contribute smaller, but still relevant, shares. The End-of-Life phase demonstrates a net carbon removal due to the high recyclability and established take-back programs, highlighting the positive impact of circular economy initiatives.</w:t>
      </w:r>
    </w:p>
    <w:bookmarkEnd w:id="46"/>
    <w:bookmarkStart w:id="47" w:name="reliability-statement"/>
    <w:p>
      <w:pPr>
        <w:pStyle w:val="Heading3"/>
      </w:pPr>
      <w:r>
        <w:t xml:space="preserve">Reliability Statement</w:t>
      </w:r>
    </w:p>
    <w:p>
      <w:pPr>
        <w:pStyle w:val="FirstParagraph"/>
      </w:pPr>
      <w:r>
        <w:t xml:space="preserve">This report relies on a combination of specific primary data (BOM, energy intensity, renewable energy usage, lifespan, consumption, recyclability, circular programs) and secondary, industry-average emission factors (electricity grids, transport modes) from recognized databases and sources like DEFRA, GLEC, IEA, and Ember. While specific operational nuances for every single component and transport leg might introduce minor variations, the methodology adheres to the GHG Protocol, and the identified hotspots are considered reliable for strategic decision-making. The high coverage of Scope 3 emissions (over 95%) ensures a comprehensive assessment of the value chain.</w:t>
      </w:r>
    </w:p>
    <w:bookmarkEnd w:id="47"/>
    <w:bookmarkStart w:id="48" w:name="recommendations-for-carbon-reduction"/>
    <w:p>
      <w:pPr>
        <w:pStyle w:val="Heading3"/>
      </w:pPr>
      <w:r>
        <w:t xml:space="preserve">Recommendations for Carbon Reduction</w:t>
      </w:r>
    </w:p>
    <w:p>
      <w:pPr>
        <w:numPr>
          <w:ilvl w:val="0"/>
          <w:numId w:val="1010"/>
        </w:numPr>
        <w:pStyle w:val="Compact"/>
      </w:pPr>
      <w:r>
        <w:rPr>
          <w:bCs/>
          <w:b/>
        </w:rPr>
        <w:t xml:space="preserve">Optimize Use Phase Efficiency:</w:t>
      </w:r>
      <w:r>
        <w:t xml:space="preserve"> </w:t>
      </w:r>
      <w:r>
        <w:t xml:space="preserve">Invest in R&amp;D to further reduce the EcoSmart Device v2.0\'s energy consumption during its operational lifespan. This could include more energy-efficient components or advanced power management features.</w:t>
      </w:r>
    </w:p>
    <w:p>
      <w:pPr>
        <w:numPr>
          <w:ilvl w:val="0"/>
          <w:numId w:val="1010"/>
        </w:numPr>
        <w:pStyle w:val="Compact"/>
      </w:pPr>
      <w:r>
        <w:rPr>
          <w:bCs/>
          <w:b/>
        </w:rPr>
        <w:t xml:space="preserve">Enhance Renewable Energy Sourcing for Production:</w:t>
      </w:r>
      <w:r>
        <w:t xml:space="preserve"> </w:t>
      </w:r>
      <w:r>
        <w:t xml:space="preserve">While 60% renewable energy usage is commendable, increasing this percentage in the China production facility, perhaps through direct power purchase agreements (PPAs) or on-site renewable generation, would further reduce Scope 2 emissions.</w:t>
      </w:r>
    </w:p>
    <w:p>
      <w:pPr>
        <w:numPr>
          <w:ilvl w:val="0"/>
          <w:numId w:val="1010"/>
        </w:numPr>
        <w:pStyle w:val="Compact"/>
      </w:pPr>
      <w:r>
        <w:rPr>
          <w:bCs/>
          <w:b/>
        </w:rPr>
        <w:t xml:space="preserve">Sustainable Material Sourcing:</w:t>
      </w:r>
      <w:r>
        <w:t xml:space="preserve"> </w:t>
      </w:r>
      <w:r>
        <w:t xml:space="preserve">Explore alternative, lower-carbon materials for the aluminum casing, circuit board, and batteries. Engage with suppliers to promote the use of recycled content and reduce the emission intensity of their manufacturing processes.</w:t>
      </w:r>
    </w:p>
    <w:p>
      <w:pPr>
        <w:numPr>
          <w:ilvl w:val="0"/>
          <w:numId w:val="1010"/>
        </w:numPr>
        <w:pStyle w:val="Compact"/>
      </w:pPr>
      <w:r>
        <w:rPr>
          <w:bCs/>
          <w:b/>
        </w:rPr>
        <w:t xml:space="preserve">Circular Economy Expansion:</w:t>
      </w:r>
      <w:r>
        <w:t xml:space="preserve"> </w:t>
      </w:r>
      <w:r>
        <w:t xml:space="preserve">Continue to invest in and expand take-back and recycling programs globally to maximize material recovery and further enhance the positive impact of end-of-life management.</w:t>
      </w:r>
    </w:p>
    <w:p>
      <w:pPr>
        <w:numPr>
          <w:ilvl w:val="0"/>
          <w:numId w:val="1010"/>
        </w:numPr>
        <w:pStyle w:val="Compact"/>
      </w:pPr>
      <w:r>
        <w:rPr>
          <w:bCs/>
          <w:b/>
        </w:rPr>
        <w:t xml:space="preserve">Logistics Optimization:</w:t>
      </w:r>
      <w:r>
        <w:t xml:space="preserve"> </w:t>
      </w:r>
      <w:r>
        <w:t xml:space="preserve">Though a smaller contributor, further optimize transport routes, modes (e.g., shifting to rail where feasible within Europe), and load factors to reduce transport-related emissions.</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Device v2.0</dc:title>
  <dc:creator/>
  <dc:description>High-detail Product Carbon Footprint (PCF) analysis report for EcoSmart Device v2.0 by GlobalTech Innovations, following GHG Protocol standards.</dc:description>
  <dc:language>en</dc:language>
  <cp:keywords/>
  <dcterms:created xsi:type="dcterms:W3CDTF">2026-07-15T15:30:12Z</dcterms:created>
  <dcterms:modified xsi:type="dcterms:W3CDTF">2026-07-15T15:30:12Z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