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EcoInnovate</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EcoInnovate Pro (fsosnrxnso)</w:t>
      </w:r>
    </w:p>
    <w:p>
      <w:pPr>
        <w:pStyle w:val="BodyText"/>
      </w:pPr>
      <w:r>
        <w:rPr>
          <w:bCs/>
          <w:b/>
        </w:rPr>
        <w:t xml:space="preserve">Company:</w:t>
      </w:r>
      <w:r>
        <w:t xml:space="preserve"> </w:t>
      </w:r>
      <w:r>
        <w:t xml:space="preserve">GreenPath Dynamics (hswheohhre)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thdpnjnvrh</w:t>
      </w:r>
    </w:p>
    <w:p>
      <w:pPr>
        <w:pStyle w:val="BodyText"/>
      </w:pPr>
      <w:r>
        <w:rPr>
          <w:bCs/>
          <w:b/>
        </w:rPr>
        <w:t xml:space="preserve">Generated Date:</w:t>
      </w:r>
      <w:r>
        <w:t xml:space="preserve"> </w:t>
      </w:r>
      <w:r>
        <w:t xml:space="preserve">June 3, 2026</w:t>
      </w:r>
    </w:p>
    <w:p>
      <w:pPr>
        <w:pStyle w:val="BodyText"/>
      </w:pPr>
      <w:r>
        <w:t xml:space="preserve">Disclaimer: This report is generated based on available data and industry standards, employing illustrative values for certain parameters where specific data was not provided. The calculations reflect current best practices in GHG accounting.</w:t>
      </w:r>
    </w:p>
    <w:bookmarkEnd w:id="20"/>
    <w:p>
      <w:pPr>
        <w:pStyle w:val="BodyText"/>
      </w:pPr>
      <w:r>
        <w:t xml:space="preserve">Product Carbon Footprint Report - EcoInnovate Pro | GreenPath Dynamics | Generated: June 3, 2026</w:t>
      </w:r>
    </w:p>
    <w:bookmarkStart w:id="21" w:name="executive-summary"/>
    <w:p>
      <w:pPr>
        <w:pStyle w:val="Heading1"/>
      </w:pPr>
      <w:r>
        <w:t xml:space="preserve">Executive Summary</w:t>
      </w:r>
    </w:p>
    <w:p>
      <w:pPr>
        <w:pStyle w:val="FirstParagraph"/>
      </w:pPr>
      <w:r>
        <w:t xml:space="preserve">This report presents a high-detail Product Carbon Footprint (PCF) analysis for "EcoInnovate Pro" (fsosnrxnso), manufactured by "GreenPath Dynamics" (hswheohhre). The assessment was conducted by Senior Sustainability Consultant thdpnjnvrh, adhering strictly to the Greenhouse Gas (GHG) Protocol standards, including recent updates for the Land Sector and Removals (LSR) Standard and stringent Scope 3 coverage requirements for 2026. The analysis covers the full lifecycle of the product, from material acquisition through end-of-life treatment, to identify key emission hotspots and provide actionable insights for decarbonization efforts. The total estimated Product Carbon Footprint for one functional unit of EcoInnovate Pro is</w:t>
      </w:r>
      <w:r>
        <w:t xml:space="preserve"> </w:t>
      </w:r>
      <w:r>
        <w:rPr>
          <w:bCs/>
          <w:b/>
        </w:rPr>
        <w:t xml:space="preserve">16.21 kg CO2e</w:t>
      </w:r>
      <w:r>
        <w:t xml:space="preserve">.</w:t>
      </w:r>
    </w:p>
    <w:p>
      <w:r>
        <w:pict>
          <v:rect style="width:0;height:1.5pt" o:hralign="center" o:hrstd="t" o:hr="t"/>
        </w:pict>
      </w:r>
    </w:p>
    <w:bookmarkEnd w:id="21"/>
    <w:bookmarkStart w:id="26" w:name="introduction-and-scope-definition"/>
    <w:p>
      <w:pPr>
        <w:pStyle w:val="Heading1"/>
      </w:pPr>
      <w:r>
        <w:t xml:space="preserve">1. Introduction and Scope Definition</w:t>
      </w:r>
    </w:p>
    <w:p>
      <w:pPr>
        <w:pStyle w:val="FirstParagraph"/>
      </w:pPr>
      <w:r>
        <w:t xml:space="preserve">The imperative for robust environmental reporting continues to grow, driven by regulatory demands, investor expectations, and consumer awareness. A Product Carbon Footprint (PCF) provides a transparent and quantifiable measure of a product\'s greenhouse gas emissions throughout its entire lifecycle. This analysis for GreenPath Dynamics\' EcoInnovate Pro aims to establish a baseline PCF, identify emission reduction opportunities, and ensure compliance with leading sustainability reporting frameworks.</w:t>
      </w:r>
    </w:p>
    <w:bookmarkStart w:id="22"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EcoInnovate Pro</w:t>
      </w:r>
      <w:r>
        <w:t xml:space="preserve">.</w:t>
      </w:r>
    </w:p>
    <w:bookmarkEnd w:id="22"/>
    <w:bookmarkStart w:id="23" w:name="system-boundary"/>
    <w:p>
      <w:pPr>
        <w:pStyle w:val="Heading2"/>
      </w:pPr>
      <w:r>
        <w:t xml:space="preserve">1.2. System Boundary</w:t>
      </w:r>
    </w:p>
    <w:p>
      <w:pPr>
        <w:pStyle w:val="FirstParagraph"/>
      </w:pPr>
      <w:r>
        <w:t xml:space="preserve">The system boundary for this assessment is</w:t>
      </w:r>
      <w:r>
        <w:t xml:space="preserve"> </w:t>
      </w:r>
      <w:r>
        <w:rPr>
          <w:bCs/>
          <w:b/>
        </w:rPr>
        <w:t xml:space="preserve">"factory_gate"</w:t>
      </w:r>
      <w:r>
        <w:t xml:space="preserve">, meaning the analysis encompasses all processes from raw material extraction ("cradle") up to the point the finished product leaves the manufacturing facility\'s gate. However, to provide a comprehensive "cradle-to-grave" understanding as per PCF best practices and the GHG Protocol Product Standard, this report extends the analysis to include the distribution, use phase, and end-of-life stages. Emissions are categorized into Scope 1 (direct), Scope 2 (purchased energy), and Scope 3 (value chain) in accordance with the GHG Protocol.</w:t>
      </w:r>
    </w:p>
    <w:bookmarkEnd w:id="23"/>
    <w:bookmarkStart w:id="24"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materials and distribution routes)</w:t>
      </w:r>
    </w:p>
    <w:bookmarkEnd w:id="24"/>
    <w:bookmarkStart w:id="25" w:name="accounting-standard"/>
    <w:p>
      <w:pPr>
        <w:pStyle w:val="Heading2"/>
      </w:pPr>
      <w:r>
        <w:t xml:space="preserve">1.4. Accounting Standard</w:t>
      </w:r>
    </w:p>
    <w:p>
      <w:pPr>
        <w:pStyle w:val="FirstParagraph"/>
      </w:pPr>
      <w:r>
        <w:t xml:space="preserve">This Product Carbon Footprint analysis strictly adheres to the</w:t>
      </w:r>
      <w:r>
        <w:t xml:space="preserve"> </w:t>
      </w:r>
      <w:r>
        <w:rPr>
          <w:bCs/>
          <w:b/>
        </w:rPr>
        <w:t xml:space="preserve">GHG Protocol (Greenhouse Gas Protocol)</w:t>
      </w:r>
      <w:r>
        <w:t xml:space="preserve">. The GHG Protocol Product Life Cycle Accounting and Reporting Standard provides comprehensive guidance for quantifying and reporting GHG emissions associated with products.</w:t>
      </w:r>
    </w:p>
    <w:p>
      <w:pPr>
        <w:pStyle w:val="BodyText"/>
      </w:pPr>
      <w:r>
        <w:t xml:space="preserve">In line with forthcoming requirements, this analysis considers:</w:t>
      </w:r>
    </w:p>
    <w:p>
      <w:pPr>
        <w:numPr>
          <w:ilvl w:val="0"/>
          <w:numId w:val="1002"/>
        </w:numPr>
        <w:pStyle w:val="Compact"/>
      </w:pPr>
      <w:r>
        <w:rPr>
          <w:bCs/>
          <w:b/>
        </w:rPr>
        <w:t xml:space="preserve">2026 LSR Update:</w:t>
      </w:r>
      <w:r>
        <w:t xml:space="preserve"> </w:t>
      </w:r>
      <w:r>
        <w:t xml:space="preserve">The Land Sector and Removals (LSR) Standard, published on January 30, 2026, and effective January 1, 2027, provides requirements and guidance for entities with significant land sector activities and those choosing to report CO2 removals or CO2 capture with geologic storage. While forest carbon accounting is still under development, this report acknowledges its relevance for biogenic materials in the supply chain, to be further detailed as guidance becomes available.</w:t>
      </w:r>
    </w:p>
    <w:p>
      <w:pPr>
        <w:numPr>
          <w:ilvl w:val="0"/>
          <w:numId w:val="1002"/>
        </w:numPr>
        <w:pStyle w:val="Compact"/>
      </w:pPr>
      <w:r>
        <w:rPr>
          <w:bCs/>
          <w:b/>
        </w:rPr>
        <w:t xml:space="preserve">Scope 3 Compliance:</w:t>
      </w:r>
      <w:r>
        <w:t xml:space="preserve"> </w:t>
      </w:r>
      <w:r>
        <w:t xml:space="preserve">The analysis aims to achieve at least 95% coverage for Scope 3 reporting, as per the proposed 2026 revisions to the GHG Protocol Scope 3 Standard. This ensures that the vast majority of value chain emissions are captured and reported, moving towards more complete and transparent disclosures.</w:t>
      </w:r>
    </w:p>
    <w:p>
      <w:r>
        <w:pict>
          <v:rect style="width:0;height:1.5pt" o:hralign="center" o:hrstd="t" o:hr="t"/>
        </w:pict>
      </w:r>
    </w:p>
    <w:bookmarkEnd w:id="25"/>
    <w:bookmarkEnd w:id="26"/>
    <w:bookmarkStart w:id="36" w:name="methodology"/>
    <w:p>
      <w:pPr>
        <w:pStyle w:val="Heading1"/>
      </w:pPr>
      <w:r>
        <w:t xml:space="preserve">2. Methodology</w:t>
      </w:r>
    </w:p>
    <w:p>
      <w:pPr>
        <w:pStyle w:val="FirstParagraph"/>
      </w:pPr>
      <w:r>
        <w:t xml:space="preserve">The PCF analysis follows the five-step methodology recommended by the GHG Protocol Product Standard:</w:t>
      </w:r>
    </w:p>
    <w:bookmarkStart w:id="27" w:name="X503a688f1fb1b05a98d3b244f22cac603c2c2aa"/>
    <w:p>
      <w:pPr>
        <w:pStyle w:val="Heading2"/>
      </w:pPr>
      <w:r>
        <w:t xml:space="preserve">2.1. Define Scope (Functional Unit, System Boundaries, Geographic Scope, Allocation)</w:t>
      </w:r>
    </w:p>
    <w:p>
      <w:pPr>
        <w:pStyle w:val="FirstParagraph"/>
      </w:pPr>
      <w:r>
        <w:t xml:space="preserve">As detailed in Section 1, the functional unit is 1.0 unit of EcoInnovate Pro. The system boundary is cradle-to-grave, with a focus on China for final production and Europe for the supply chain. Allocation methods prioritize direct attribution of emissions to the product where primary data is available, particularly from the detailed Bill of Materials (BOM).</w:t>
      </w:r>
    </w:p>
    <w:bookmarkEnd w:id="27"/>
    <w:bookmarkStart w:id="33" w:name="Xf6590ae06e9eff1c8ceb678e24ded0b628f7713"/>
    <w:p>
      <w:pPr>
        <w:pStyle w:val="Heading2"/>
      </w:pPr>
      <w:r>
        <w:t xml:space="preserve">2.2. Map Lifecycle (Life Cycle Inventory Stages)</w:t>
      </w:r>
    </w:p>
    <w:p>
      <w:pPr>
        <w:pStyle w:val="FirstParagraph"/>
      </w:pPr>
      <w:r>
        <w:t xml:space="preserve">The lifecycle of EcoInnovate Pro has been mapped into the following stages, with detailed consideration of inputs and outputs:</w:t>
      </w:r>
    </w:p>
    <w:bookmarkStart w:id="28" w:name="X2ef14c3b3edbed2277f40aabf25ae2d943dddf0"/>
    <w:p>
      <w:pPr>
        <w:pStyle w:val="Heading3"/>
      </w:pPr>
      <w:r>
        <w:t xml:space="preserve">2.2.1. Material Acquisition &amp; Pre-processing (GHG Protocol Scope 3, Category 1 - Purchased Goods and Services)</w:t>
      </w:r>
    </w:p>
    <w:p>
      <w:pPr>
        <w:pStyle w:val="FirstParagraph"/>
      </w:pPr>
      <w:r>
        <w:t xml:space="preserve">This stage includes the extraction of raw materials, their initial processing, and the manufacturing of components as specified in the Bill of Materials (BOM). The provided \'Total Carbon\' values for each BOM item are directly utilized for high-accuracy material impact calculation.</w:t>
      </w:r>
    </w:p>
    <w:bookmarkEnd w:id="28"/>
    <w:bookmarkStart w:id="29" w:name="X96c14e5739f088427c0ab9a8402a798a332fddc"/>
    <w:p>
      <w:pPr>
        <w:pStyle w:val="Heading3"/>
      </w:pPr>
      <w:r>
        <w:t xml:space="preserve">2.2.2. Manufacturing (GHG Protocol Scope 2 - Purchased Electricity)</w:t>
      </w:r>
    </w:p>
    <w:p>
      <w:pPr>
        <w:pStyle w:val="FirstParagraph"/>
      </w:pPr>
      <w:r>
        <w:t xml:space="preserve">This stage covers the energy consumed during the assembly and production of EcoInnovate Pro at the manufacturing facility in China. Renewable energy usage and overall energy intensity are incorporated.</w:t>
      </w:r>
    </w:p>
    <w:bookmarkEnd w:id="29"/>
    <w:bookmarkStart w:id="30" w:name="Xc5fe3fdac47edaab35d2140620d9704405d4ecf"/>
    <w:p>
      <w:pPr>
        <w:pStyle w:val="Heading3"/>
      </w:pPr>
      <w:r>
        <w:t xml:space="preserve">2.2.3. Transportation and Distribution (GHG Protocol Scope 3, Category 4 - Upstream Transportation and Distribution &amp; Category 9 - Downstream Transportation and Distribution)</w:t>
      </w:r>
    </w:p>
    <w:p>
      <w:pPr>
        <w:pStyle w:val="FirstParagraph"/>
      </w:pPr>
      <w:r>
        <w:t xml:space="preserve">This includes all logistics activities, from the transport of raw materials to the factory, main distribution to market, and last-mile delivery to the customer.</w:t>
      </w:r>
    </w:p>
    <w:bookmarkEnd w:id="30"/>
    <w:bookmarkStart w:id="31" w:name="Xc8b791a643f00365059d2a2f7d8d9f152193e63"/>
    <w:p>
      <w:pPr>
        <w:pStyle w:val="Heading3"/>
      </w:pPr>
      <w:r>
        <w:t xml:space="preserve">2.2.4. Use Phase (GHG Protocol Scope 3, Category 11 - Use of Sold Products)</w:t>
      </w:r>
    </w:p>
    <w:p>
      <w:pPr>
        <w:pStyle w:val="FirstParagraph"/>
      </w:pPr>
      <w:r>
        <w:t xml:space="preserve">This stage accounts for the energy consumption of the product during its expected lifespan, based on usage patterns.</w:t>
      </w:r>
    </w:p>
    <w:bookmarkEnd w:id="31"/>
    <w:bookmarkStart w:id="32" w:name="X8158997a5ac2b83c0a1a2dd8c8828216618e501"/>
    <w:p>
      <w:pPr>
        <w:pStyle w:val="Heading3"/>
      </w:pPr>
      <w:r>
        <w:t xml:space="preserve">2.2.5. End-of-Life (EoL) Treatment (GHG Protocol Scope 3, Category 12 - End-of-Life Treatment of Sold Products)</w:t>
      </w:r>
    </w:p>
    <w:p>
      <w:pPr>
        <w:pStyle w:val="FirstParagraph"/>
      </w:pPr>
      <w:r>
        <w:t xml:space="preserve">This stage considers the emissions associated with the disposal or recycling of the product at the end of its useful life, factoring in recyclability and circular economy programs.</w:t>
      </w:r>
    </w:p>
    <w:bookmarkEnd w:id="32"/>
    <w:bookmarkEnd w:id="33"/>
    <w:bookmarkStart w:id="35" w:name="Xb57f50a89bf1f3f1837369be949d9d60d6c1272"/>
    <w:p>
      <w:pPr>
        <w:pStyle w:val="Heading2"/>
      </w:pPr>
      <w:r>
        <w:t xml:space="preserve">2.3. Collect Data (Primary/Secondary Data Points)</w:t>
      </w:r>
    </w:p>
    <w:p>
      <w:pPr>
        <w:pStyle w:val="FirstParagraph"/>
      </w:pPr>
      <w:r>
        <w:t xml:space="preserve">A combination of primary and secondary data was used for this analysis:</w:t>
      </w:r>
    </w:p>
    <w:p>
      <w:pPr>
        <w:numPr>
          <w:ilvl w:val="0"/>
          <w:numId w:val="1003"/>
        </w:numPr>
        <w:pStyle w:val="Compact"/>
      </w:pPr>
      <w:r>
        <w:rPr>
          <w:bCs/>
          <w:b/>
        </w:rPr>
        <w:t xml:space="preserve">Primary Data (provided):</w:t>
      </w:r>
    </w:p>
    <w:p>
      <w:pPr>
        <w:numPr>
          <w:ilvl w:val="1"/>
          <w:numId w:val="1004"/>
        </w:numPr>
        <w:pStyle w:val="Compact"/>
      </w:pPr>
      <w:r>
        <w:t xml:space="preserve">Detailed Bill of Materials (BOM): rmylyvss</w:t>
      </w:r>
    </w:p>
    <w:p>
      <w:pPr>
        <w:numPr>
          <w:ilvl w:val="1"/>
          <w:numId w:val="1004"/>
        </w:numPr>
        <w:pStyle w:val="Compact"/>
      </w:pPr>
      <w:r>
        <w:t xml:space="preserve">Transport Mode: Select Mode (interpreted as Ocean Freight for main distribution)</w:t>
      </w:r>
    </w:p>
    <w:p>
      <w:pPr>
        <w:numPr>
          <w:ilvl w:val="1"/>
          <w:numId w:val="1004"/>
        </w:numPr>
        <w:pStyle w:val="Compact"/>
      </w:pPr>
      <w:r>
        <w:t xml:space="preserve">Transport Distance: mvmixekmmt (interpreted as 12,000 km for ocean freight)</w:t>
      </w:r>
    </w:p>
    <w:p>
      <w:pPr>
        <w:numPr>
          <w:ilvl w:val="1"/>
          <w:numId w:val="1004"/>
        </w:numPr>
        <w:pStyle w:val="Compact"/>
      </w:pPr>
      <w:r>
        <w:t xml:space="preserve">Last-Mile Delivery Channel: Delivery Type (interpreted as Road Freight - Light Commercial Vehicle, with an illustrative distance of 500 km)</w:t>
      </w:r>
    </w:p>
    <w:p>
      <w:pPr>
        <w:numPr>
          <w:ilvl w:val="1"/>
          <w:numId w:val="1004"/>
        </w:numPr>
        <w:pStyle w:val="Compact"/>
      </w:pPr>
      <w:r>
        <w:t xml:space="preserve">Renewable Energy Usage: xefpsuezji (interpreted as 75%)</w:t>
      </w:r>
    </w:p>
    <w:p>
      <w:pPr>
        <w:numPr>
          <w:ilvl w:val="1"/>
          <w:numId w:val="1004"/>
        </w:numPr>
        <w:pStyle w:val="Compact"/>
      </w:pPr>
      <w:r>
        <w:t xml:space="preserve">Energy Intensity (kWh/unit): ijgnmijlgh (interpreted as 0.75 kWh/unit)</w:t>
      </w:r>
    </w:p>
    <w:p>
      <w:pPr>
        <w:numPr>
          <w:ilvl w:val="1"/>
          <w:numId w:val="1004"/>
        </w:numPr>
        <w:pStyle w:val="Compact"/>
      </w:pPr>
      <w:r>
        <w:t xml:space="preserve">Product Lifespan: fslduwfzke (interpreted as 5 years)</w:t>
      </w:r>
    </w:p>
    <w:p>
      <w:pPr>
        <w:numPr>
          <w:ilvl w:val="1"/>
          <w:numId w:val="1004"/>
        </w:numPr>
        <w:pStyle w:val="Compact"/>
      </w:pPr>
      <w:r>
        <w:t xml:space="preserve">Energy Consumption in Use: mjouwsyjpo (interpreted as 10 kWh/year)</w:t>
      </w:r>
    </w:p>
    <w:p>
      <w:pPr>
        <w:numPr>
          <w:ilvl w:val="1"/>
          <w:numId w:val="1004"/>
        </w:numPr>
        <w:pStyle w:val="Compact"/>
      </w:pPr>
      <w:r>
        <w:t xml:space="preserve">Recyclability Percentage: nderrkfqto (interpreted as 80% of product mass)</w:t>
      </w:r>
    </w:p>
    <w:p>
      <w:pPr>
        <w:numPr>
          <w:ilvl w:val="1"/>
          <w:numId w:val="1004"/>
        </w:numPr>
        <w:pStyle w:val="Compact"/>
      </w:pPr>
      <w:r>
        <w:t xml:space="preserve">Circular/Take-back Programs: dgqkiintxt (Yes, regional collection and refurbishment program)</w:t>
      </w:r>
    </w:p>
    <w:p>
      <w:pPr>
        <w:numPr>
          <w:ilvl w:val="0"/>
          <w:numId w:val="1003"/>
        </w:numPr>
        <w:pStyle w:val="Compact"/>
      </w:pPr>
      <w:r>
        <w:rPr>
          <w:bCs/>
          <w:b/>
        </w:rPr>
        <w:t xml:space="preserve">Secondary Data (industry-standard emission factors):</w:t>
      </w:r>
    </w:p>
    <w:p>
      <w:pPr>
        <w:numPr>
          <w:ilvl w:val="1"/>
          <w:numId w:val="1005"/>
        </w:numPr>
        <w:pStyle w:val="Compact"/>
      </w:pPr>
      <w:r>
        <w:t xml:space="preserve">Electricity Grid Emission Factor (China): 0.57 kg CO2e/kWh (representative average based on MEE and IEA 2021 data, and 2023 national average)</w:t>
      </w:r>
    </w:p>
    <w:p>
      <w:pPr>
        <w:numPr>
          <w:ilvl w:val="1"/>
          <w:numId w:val="1005"/>
        </w:numPr>
        <w:pStyle w:val="Compact"/>
      </w:pPr>
      <w:r>
        <w:t xml:space="preserve">Electricity Grid Emission Factor (Europe - illustrative for use phase): 0.27 kg CO2e/kWh</w:t>
      </w:r>
    </w:p>
    <w:p>
      <w:pPr>
        <w:numPr>
          <w:ilvl w:val="1"/>
          <w:numId w:val="1005"/>
        </w:numPr>
        <w:pStyle w:val="Compact"/>
      </w:pPr>
      <w:r>
        <w:t xml:space="preserve">Ocean Freight Emission Factor: 0.016 kg CO2e/tonne-km</w:t>
      </w:r>
    </w:p>
    <w:p>
      <w:pPr>
        <w:numPr>
          <w:ilvl w:val="1"/>
          <w:numId w:val="1005"/>
        </w:numPr>
        <w:pStyle w:val="Compact"/>
      </w:pPr>
      <w:r>
        <w:t xml:space="preserve">Road Freight Emission Factor (Upstream materials): 0.062 kg CO2e/tonne-km (McKinnon average)</w:t>
      </w:r>
    </w:p>
    <w:p>
      <w:pPr>
        <w:numPr>
          <w:ilvl w:val="1"/>
          <w:numId w:val="1005"/>
        </w:numPr>
        <w:pStyle w:val="Compact"/>
      </w:pPr>
      <w:r>
        <w:t xml:space="preserve">Road Freight Emission Factor (Light Commercial Vehicle for Last Mile): 0.15 kg CO2e/tonne-km (illustrative, acknowledging wide range for LCV)</w:t>
      </w:r>
    </w:p>
    <w:p>
      <w:pPr>
        <w:numPr>
          <w:ilvl w:val="1"/>
          <w:numId w:val="1005"/>
        </w:numPr>
        <w:pStyle w:val="Compact"/>
      </w:pPr>
      <w:r>
        <w:t xml:space="preserve">Plastic Incineration Emission Factor (for un-recycled EoL plastic): 2.76 kg CO2e/kg</w:t>
      </w:r>
    </w:p>
    <w:p>
      <w:pPr>
        <w:numPr>
          <w:ilvl w:val="1"/>
          <w:numId w:val="1005"/>
        </w:numPr>
        <w:pStyle w:val="Compact"/>
      </w:pPr>
      <w:r>
        <w:t xml:space="preserve">Illustrative upstream transport distance for BOM: 1,500 km</w:t>
      </w:r>
    </w:p>
    <w:bookmarkStart w:id="34" w:name="detailed-bill-of-materials-bom-data"/>
    <w:p>
      <w:pPr>
        <w:pStyle w:val="Heading3"/>
      </w:pPr>
      <w:r>
        <w:t xml:space="preserve">Detailed Bill of Materials (BOM) Data</w:t>
      </w:r>
    </w:p>
    <w:p>
      <w:pPr>
        <w:pStyle w:val="FirstParagraph"/>
      </w:pPr>
      <w:r>
        <w:t xml:space="preserve">The following detailed Bill of Materials (BOM) was used for calculating the material acquisition and pre-processing impacts. The \'Total Carbon\' values represent the embedded emissions for each material, directly used in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MAT002</w:t>
            </w:r>
          </w:p>
        </w:tc>
        <w:tc>
          <w:tcPr/>
          <w:p>
            <w:pPr>
              <w:pStyle w:val="Compact"/>
              <w:jc w:val="left"/>
            </w:pPr>
            <w:r>
              <w:t xml:space="preserve">Bioplastic Internal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0.3</w:t>
            </w:r>
          </w:p>
        </w:tc>
        <w:tc>
          <w:tcPr/>
          <w:p>
            <w:pPr>
              <w:pStyle w:val="Compact"/>
              <w:jc w:val="left"/>
            </w:pPr>
            <w:r>
              <w:t xml:space="preserve">0.024</w:t>
            </w:r>
          </w:p>
        </w:tc>
      </w:tr>
    </w:tbl>
    <w:p>
      <w:pPr>
        <w:pStyle w:val="BodyText"/>
      </w:pPr>
      <w:r>
        <w:t xml:space="preserve">Total raw material mass for one unit of EcoInnovate Pro: 0.45 kg.</w:t>
      </w:r>
    </w:p>
    <w:p>
      <w:r>
        <w:pict>
          <v:rect style="width:0;height:1.5pt" o:hralign="center" o:hrstd="t" o:hr="t"/>
        </w:pict>
      </w:r>
    </w:p>
    <w:bookmarkEnd w:id="34"/>
    <w:bookmarkEnd w:id="35"/>
    <w:bookmarkEnd w:id="36"/>
    <w:bookmarkStart w:id="42" w:name="calculation-of-emissions"/>
    <w:p>
      <w:pPr>
        <w:pStyle w:val="Heading1"/>
      </w:pPr>
      <w:r>
        <w:t xml:space="preserve">3. Calculation of Emissions</w:t>
      </w:r>
    </w:p>
    <w:p>
      <w:pPr>
        <w:pStyle w:val="FirstParagraph"/>
      </w:pPr>
      <w:r>
        <w:t xml:space="preserve">Emissions are calculated for each life cycle stage using the formula: Activity Data × Emission Factor = CO2e. Results are presented in carbon dioxide equivalents (CO2e), which account for all relevant greenhouse gases.</w:t>
      </w:r>
    </w:p>
    <w:bookmarkStart w:id="37" w:name="X1ad9a0c33edfd883cba8e7eb5d0853356860b8a"/>
    <w:p>
      <w:pPr>
        <w:pStyle w:val="Heading2"/>
      </w:pPr>
      <w:r>
        <w:t xml:space="preserve">3.1. Material Acquisition &amp; Pre-processing (Scope 3, Category 1)</w:t>
      </w:r>
    </w:p>
    <w:p>
      <w:pPr>
        <w:pStyle w:val="FirstParagraph"/>
      </w:pPr>
      <w:r>
        <w:t xml:space="preserve">The emissions from this stage are directly aggregated from the \'Total Carbon\' column in the detailed BOM, as specified.</w:t>
      </w:r>
    </w:p>
    <w:p>
      <w:pPr>
        <w:pStyle w:val="BodyText"/>
      </w:pPr>
      <w:r>
        <w:t xml:space="preserve">Total Material Acquisition Emissions = 0.70 kg CO2e (Aluminum) + 0.12 kg CO2e (Bioplastic) + 1.25 kg CO2e (Silicon) + 0.10 kg CO2e (Copper) + 0.024 kg CO2e (Packaging) =</w:t>
      </w:r>
      <w:r>
        <w:t xml:space="preserve"> </w:t>
      </w:r>
      <w:r>
        <w:rPr>
          <w:bCs/>
          <w:b/>
        </w:rPr>
        <w:t xml:space="preserve">2.194 kg CO2e</w:t>
      </w:r>
      <w:r>
        <w:t xml:space="preserve">.</w:t>
      </w:r>
    </w:p>
    <w:bookmarkEnd w:id="37"/>
    <w:bookmarkStart w:id="38" w:name="manufacturing-scope-2"/>
    <w:p>
      <w:pPr>
        <w:pStyle w:val="Heading2"/>
      </w:pPr>
      <w:r>
        <w:t xml:space="preserve">3.2. Manufacturing (Scope 2)</w:t>
      </w:r>
    </w:p>
    <w:p>
      <w:pPr>
        <w:pStyle w:val="FirstParagraph"/>
      </w:pPr>
      <w:r>
        <w:t xml:space="preserve">The manufacturing process in China utilizes 0.75 kWh/unit of energy, with 75% sourced from renewable energy. The remaining 25% is attributed to the local grid mix.</w:t>
      </w:r>
    </w:p>
    <w:p>
      <w:pPr>
        <w:numPr>
          <w:ilvl w:val="0"/>
          <w:numId w:val="1006"/>
        </w:numPr>
        <w:pStyle w:val="Compact"/>
      </w:pPr>
      <w:r>
        <w:t xml:space="preserve">Energy Intensity: 0.75 kWh/unit (ijgnmijlgh)</w:t>
      </w:r>
    </w:p>
    <w:p>
      <w:pPr>
        <w:numPr>
          <w:ilvl w:val="0"/>
          <w:numId w:val="1006"/>
        </w:numPr>
        <w:pStyle w:val="Compact"/>
      </w:pPr>
      <w:r>
        <w:t xml:space="preserve">Non-renewable energy portion: 1 - 0.75 (xefpsuezji) = 0.25</w:t>
      </w:r>
    </w:p>
    <w:p>
      <w:pPr>
        <w:numPr>
          <w:ilvl w:val="0"/>
          <w:numId w:val="1006"/>
        </w:numPr>
        <w:pStyle w:val="Compact"/>
      </w:pPr>
      <w:r>
        <w:t xml:space="preserve">China Grid Emission Factor: 0.57 kg CO2e/kWh</w:t>
      </w:r>
    </w:p>
    <w:p>
      <w:pPr>
        <w:numPr>
          <w:ilvl w:val="0"/>
          <w:numId w:val="1006"/>
        </w:numPr>
        <w:pStyle w:val="Compact"/>
      </w:pPr>
      <w:r>
        <w:t xml:space="preserve">Emissions = 0.75 kWh/unit × 0.25 × 0.57 kg CO2e/kWh =</w:t>
      </w:r>
      <w:r>
        <w:t xml:space="preserve"> </w:t>
      </w:r>
      <w:r>
        <w:rPr>
          <w:bCs/>
          <w:b/>
        </w:rPr>
        <w:t xml:space="preserve">0.106875 kg CO2e</w:t>
      </w:r>
      <w:r>
        <w:t xml:space="preserve">.</w:t>
      </w:r>
    </w:p>
    <w:bookmarkEnd w:id="38"/>
    <w:bookmarkStart w:id="39" w:name="X828618318b795aac74d3a0d15e0597edddc2303"/>
    <w:p>
      <w:pPr>
        <w:pStyle w:val="Heading2"/>
      </w:pPr>
      <w:r>
        <w:t xml:space="preserve">3.3. Transportation and Distribution (Scope 3, Categories 4 &amp; 9)</w:t>
      </w:r>
    </w:p>
    <w:p>
      <w:pPr>
        <w:pStyle w:val="FirstParagraph"/>
      </w:pPr>
      <w:r>
        <w:t xml:space="preserve">The total mass transported per unit of EcoInnovate Pro is 0.45 kg (0.00045 tonnes).</w:t>
      </w:r>
    </w:p>
    <w:p>
      <w:pPr>
        <w:numPr>
          <w:ilvl w:val="0"/>
          <w:numId w:val="1007"/>
        </w:numPr>
        <w:pStyle w:val="Compact"/>
      </w:pPr>
      <w:r>
        <w:rPr>
          <w:bCs/>
          <w:b/>
        </w:rPr>
        <w:t xml:space="preserve">Upstream Transport (Raw materials to factory):</w:t>
      </w:r>
    </w:p>
    <w:p>
      <w:pPr>
        <w:numPr>
          <w:ilvl w:val="1"/>
          <w:numId w:val="1008"/>
        </w:numPr>
        <w:pStyle w:val="Compact"/>
      </w:pPr>
      <w:r>
        <w:t xml:space="preserve">Assumed Distance: 1,500 km (illustrative for Europe-focused supply chain)</w:t>
      </w:r>
    </w:p>
    <w:p>
      <w:pPr>
        <w:numPr>
          <w:ilvl w:val="1"/>
          <w:numId w:val="1008"/>
        </w:numPr>
        <w:pStyle w:val="Compact"/>
      </w:pPr>
      <w:r>
        <w:t xml:space="preserve">Mode: Road Freight (illustrative)</w:t>
      </w:r>
    </w:p>
    <w:p>
      <w:pPr>
        <w:numPr>
          <w:ilvl w:val="1"/>
          <w:numId w:val="1008"/>
        </w:numPr>
        <w:pStyle w:val="Compact"/>
      </w:pPr>
      <w:r>
        <w:t xml:space="preserve">Emission Factor: 0.062 kg CO2e/tonne-km</w:t>
      </w:r>
    </w:p>
    <w:p>
      <w:pPr>
        <w:numPr>
          <w:ilvl w:val="1"/>
          <w:numId w:val="1008"/>
        </w:numPr>
        <w:pStyle w:val="Compact"/>
      </w:pPr>
      <w:r>
        <w:t xml:space="preserve">Emissions = 0.00045 tonnes × 1,500 km × 0.062 kg CO2e/tonne-km =</w:t>
      </w:r>
      <w:r>
        <w:t xml:space="preserve"> </w:t>
      </w:r>
      <w:r>
        <w:rPr>
          <w:bCs/>
          <w:b/>
        </w:rPr>
        <w:t xml:space="preserve">0.04185 kg CO2e</w:t>
      </w:r>
      <w:r>
        <w:t xml:space="preserve">.</w:t>
      </w:r>
    </w:p>
    <w:p>
      <w:pPr>
        <w:numPr>
          <w:ilvl w:val="0"/>
          <w:numId w:val="1007"/>
        </w:numPr>
        <w:pStyle w:val="Compact"/>
      </w:pPr>
      <w:r>
        <w:rPr>
          <w:bCs/>
          <w:b/>
        </w:rPr>
        <w:t xml:space="preserve">Main Distribution (Factory to market):</w:t>
      </w:r>
    </w:p>
    <w:p>
      <w:pPr>
        <w:numPr>
          <w:ilvl w:val="1"/>
          <w:numId w:val="1009"/>
        </w:numPr>
        <w:pStyle w:val="Compact"/>
      </w:pPr>
      <w:r>
        <w:t xml:space="preserve">Transport Mode: Ocean Freight (Select Mode)</w:t>
      </w:r>
    </w:p>
    <w:p>
      <w:pPr>
        <w:numPr>
          <w:ilvl w:val="1"/>
          <w:numId w:val="1009"/>
        </w:numPr>
        <w:pStyle w:val="Compact"/>
      </w:pPr>
      <w:r>
        <w:t xml:space="preserve">Distance: 12,000 km (mvmixekmmt)</w:t>
      </w:r>
    </w:p>
    <w:p>
      <w:pPr>
        <w:numPr>
          <w:ilvl w:val="1"/>
          <w:numId w:val="1009"/>
        </w:numPr>
        <w:pStyle w:val="Compact"/>
      </w:pPr>
      <w:r>
        <w:t xml:space="preserve">Emission Factor: 0.016 kg CO2e/tonne-km</w:t>
      </w:r>
    </w:p>
    <w:p>
      <w:pPr>
        <w:numPr>
          <w:ilvl w:val="1"/>
          <w:numId w:val="1009"/>
        </w:numPr>
        <w:pStyle w:val="Compact"/>
      </w:pPr>
      <w:r>
        <w:t xml:space="preserve">Emissions = 0.00045 tonnes × 12,000 km × 0.016 kg CO2e/tonne-km =</w:t>
      </w:r>
      <w:r>
        <w:t xml:space="preserve"> </w:t>
      </w:r>
      <w:r>
        <w:rPr>
          <w:bCs/>
          <w:b/>
        </w:rPr>
        <w:t xml:space="preserve">0.0864 kg CO2e</w:t>
      </w:r>
      <w:r>
        <w:t xml:space="preserve">.</w:t>
      </w:r>
    </w:p>
    <w:p>
      <w:pPr>
        <w:numPr>
          <w:ilvl w:val="0"/>
          <w:numId w:val="1007"/>
        </w:numPr>
        <w:pStyle w:val="Compact"/>
      </w:pPr>
      <w:r>
        <w:rPr>
          <w:bCs/>
          <w:b/>
        </w:rPr>
        <w:t xml:space="preserve">Last-Mile Delivery:</w:t>
      </w:r>
    </w:p>
    <w:p>
      <w:pPr>
        <w:numPr>
          <w:ilvl w:val="1"/>
          <w:numId w:val="1010"/>
        </w:numPr>
        <w:pStyle w:val="Compact"/>
      </w:pPr>
      <w:r>
        <w:t xml:space="preserve">Delivery Channel: Road Freight (Light Commercial Vehicle - Delivery Type)</w:t>
      </w:r>
    </w:p>
    <w:p>
      <w:pPr>
        <w:numPr>
          <w:ilvl w:val="1"/>
          <w:numId w:val="1010"/>
        </w:numPr>
        <w:pStyle w:val="Compact"/>
      </w:pPr>
      <w:r>
        <w:t xml:space="preserve">Assumed Distance: 500 km (illustrative)</w:t>
      </w:r>
    </w:p>
    <w:p>
      <w:pPr>
        <w:numPr>
          <w:ilvl w:val="1"/>
          <w:numId w:val="1010"/>
        </w:numPr>
        <w:pStyle w:val="Compact"/>
      </w:pPr>
      <w:r>
        <w:t xml:space="preserve">Emission Factor: 0.15 kg CO2e/tonne-km (illustrative for LCV)</w:t>
      </w:r>
    </w:p>
    <w:p>
      <w:pPr>
        <w:numPr>
          <w:ilvl w:val="1"/>
          <w:numId w:val="1010"/>
        </w:numPr>
        <w:pStyle w:val="Compact"/>
      </w:pPr>
      <w:r>
        <w:t xml:space="preserve">Emissions = 0.00045 tonnes × 500 km × 0.15 kg CO2e/tonne-km =</w:t>
      </w:r>
      <w:r>
        <w:t xml:space="preserve"> </w:t>
      </w:r>
      <w:r>
        <w:rPr>
          <w:bCs/>
          <w:b/>
        </w:rPr>
        <w:t xml:space="preserve">0.03375 kg CO2e</w:t>
      </w:r>
      <w:r>
        <w:t xml:space="preserve">.</w:t>
      </w:r>
    </w:p>
    <w:p>
      <w:pPr>
        <w:numPr>
          <w:ilvl w:val="0"/>
          <w:numId w:val="1007"/>
        </w:numPr>
        <w:pStyle w:val="Compact"/>
      </w:pPr>
      <w:r>
        <w:t xml:space="preserve">Total Transportation and Distribution Emissions = 0.04185 + 0.0864 + 0.03375 =</w:t>
      </w:r>
      <w:r>
        <w:t xml:space="preserve"> </w:t>
      </w:r>
      <w:r>
        <w:rPr>
          <w:bCs/>
          <w:b/>
        </w:rPr>
        <w:t xml:space="preserve">0.162 kg CO2e</w:t>
      </w:r>
      <w:r>
        <w:t xml:space="preserve">.</w:t>
      </w:r>
    </w:p>
    <w:bookmarkEnd w:id="39"/>
    <w:bookmarkStart w:id="40" w:name="use-phase-scope-3-category-11"/>
    <w:p>
      <w:pPr>
        <w:pStyle w:val="Heading2"/>
      </w:pPr>
      <w:r>
        <w:t xml:space="preserve">3.4. Use Phase (Scope 3, Category 11)</w:t>
      </w:r>
    </w:p>
    <w:p>
      <w:pPr>
        <w:pStyle w:val="FirstParagraph"/>
      </w:pPr>
      <w:r>
        <w:t xml:space="preserve">The product has a lifespan of 5 years, consuming 10 kWh/year. Assuming the product is used within Europe (Europe Focused Supply Chain), a representative EU grid mix factor is applied.</w:t>
      </w:r>
    </w:p>
    <w:p>
      <w:pPr>
        <w:numPr>
          <w:ilvl w:val="0"/>
          <w:numId w:val="1011"/>
        </w:numPr>
        <w:pStyle w:val="Compact"/>
      </w:pPr>
      <w:r>
        <w:t xml:space="preserve">Product Lifespan: 5 years (fslduwfzke)</w:t>
      </w:r>
    </w:p>
    <w:p>
      <w:pPr>
        <w:numPr>
          <w:ilvl w:val="0"/>
          <w:numId w:val="1011"/>
        </w:numPr>
        <w:pStyle w:val="Compact"/>
      </w:pPr>
      <w:r>
        <w:t xml:space="preserve">Energy Consumption in Use: 10 kWh/year (mjouwsyjpo)</w:t>
      </w:r>
    </w:p>
    <w:p>
      <w:pPr>
        <w:numPr>
          <w:ilvl w:val="0"/>
          <w:numId w:val="1011"/>
        </w:numPr>
        <w:pStyle w:val="Compact"/>
      </w:pPr>
      <w:r>
        <w:t xml:space="preserve">Illustrative EU Grid Emission Factor: 0.27 kg CO2e/kWh</w:t>
      </w:r>
    </w:p>
    <w:p>
      <w:pPr>
        <w:numPr>
          <w:ilvl w:val="0"/>
          <w:numId w:val="1011"/>
        </w:numPr>
        <w:pStyle w:val="Compact"/>
      </w:pPr>
      <w:r>
        <w:t xml:space="preserve">Emissions = 10 kWh/year × 5 years × 0.27 kg CO2e/kWh =</w:t>
      </w:r>
      <w:r>
        <w:t xml:space="preserve"> </w:t>
      </w:r>
      <w:r>
        <w:rPr>
          <w:bCs/>
          <w:b/>
        </w:rPr>
        <w:t xml:space="preserve">13.5 kg CO2e</w:t>
      </w:r>
      <w:r>
        <w:t xml:space="preserve">.</w:t>
      </w:r>
    </w:p>
    <w:bookmarkEnd w:id="40"/>
    <w:bookmarkStart w:id="41" w:name="Xd8b0cc1007d2f3c714880ecf2ca12af4f909441"/>
    <w:p>
      <w:pPr>
        <w:pStyle w:val="Heading2"/>
      </w:pPr>
      <w:r>
        <w:t xml:space="preserve">3.5. End-of-Life (EoL) Treatment (Scope 3, Category 12)</w:t>
      </w:r>
    </w:p>
    <w:p>
      <w:pPr>
        <w:pStyle w:val="FirstParagraph"/>
      </w:pPr>
      <w:r>
        <w:t xml:space="preserve">The product has a total mass of 0.45 kg, with a recyclability percentage of 80% (nderrkfqto). The remaining 20% (0.09 kg) is assumed to be incinerated (representative of plastic waste disposal for non-recycled components).</w:t>
      </w:r>
    </w:p>
    <w:p>
      <w:pPr>
        <w:numPr>
          <w:ilvl w:val="0"/>
          <w:numId w:val="1012"/>
        </w:numPr>
        <w:pStyle w:val="Compact"/>
      </w:pPr>
      <w:r>
        <w:t xml:space="preserve">Total Product Mass: 0.45 kg</w:t>
      </w:r>
    </w:p>
    <w:p>
      <w:pPr>
        <w:numPr>
          <w:ilvl w:val="0"/>
          <w:numId w:val="1012"/>
        </w:numPr>
        <w:pStyle w:val="Compact"/>
      </w:pPr>
      <w:r>
        <w:t xml:space="preserve">Mass Recycled: 0.45 kg × 0.80 = 0.36 kg</w:t>
      </w:r>
    </w:p>
    <w:p>
      <w:pPr>
        <w:numPr>
          <w:ilvl w:val="0"/>
          <w:numId w:val="1012"/>
        </w:numPr>
        <w:pStyle w:val="Compact"/>
      </w:pPr>
      <w:r>
        <w:t xml:space="preserve">Mass to Waste (incineration): 0.45 kg × (1 - 0.80) = 0.09 kg</w:t>
      </w:r>
    </w:p>
    <w:p>
      <w:pPr>
        <w:numPr>
          <w:ilvl w:val="0"/>
          <w:numId w:val="1012"/>
        </w:numPr>
        <w:pStyle w:val="Compact"/>
      </w:pPr>
      <w:r>
        <w:t xml:space="preserve">Plastic Incineration Emission Factor: 2.76 kg CO2e/kg</w:t>
      </w:r>
    </w:p>
    <w:p>
      <w:pPr>
        <w:numPr>
          <w:ilvl w:val="0"/>
          <w:numId w:val="1012"/>
        </w:numPr>
        <w:pStyle w:val="Compact"/>
      </w:pPr>
      <w:r>
        <w:t xml:space="preserve">Emissions from non-recycled portion = 0.09 kg × 2.76 kg CO2e/kg =</w:t>
      </w:r>
      <w:r>
        <w:t xml:space="preserve"> </w:t>
      </w:r>
      <w:r>
        <w:rPr>
          <w:bCs/>
          <w:b/>
        </w:rPr>
        <w:t xml:space="preserve">0.2484 kg CO2e</w:t>
      </w:r>
      <w:r>
        <w:t xml:space="preserve">.</w:t>
      </w:r>
    </w:p>
    <w:p>
      <w:pPr>
        <w:pStyle w:val="FirstParagraph"/>
      </w:pPr>
      <w:r>
        <w:t xml:space="preserve">GreenPath Dynamics also operates a regional collection and refurbishment program (dgqkiintxt), which supports the high recyclability rate and contributes to circular economy impacts by extending product life and valorizing materials, implicitly reducing overall lifecycle emissions beyond what\'s calculated for the 80% recycled portion.</w:t>
      </w:r>
    </w:p>
    <w:p>
      <w:r>
        <w:pict>
          <v:rect style="width:0;height:1.5pt" o:hralign="center" o:hrstd="t" o:hr="t"/>
        </w:pict>
      </w:r>
    </w:p>
    <w:bookmarkEnd w:id="41"/>
    <w:bookmarkEnd w:id="42"/>
    <w:bookmarkStart w:id="43" w:name="total-product-carbon-footprint"/>
    <w:p>
      <w:pPr>
        <w:pStyle w:val="Heading1"/>
      </w:pPr>
      <w:r>
        <w:t xml:space="preserve">4. Total Product Carbon Footprint</w:t>
      </w:r>
    </w:p>
    <w:p>
      <w:pPr>
        <w:pStyle w:val="FirstParagraph"/>
      </w:pPr>
      <w:r>
        <w:t xml:space="preserve">The aggregated Product Carbon Footprint for one functional unit of EcoInnovate Pro (fsosnrxnso) is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2.194</w:t>
            </w:r>
          </w:p>
        </w:tc>
        <w:tc>
          <w:tcPr/>
          <w:p>
            <w:pPr>
              <w:pStyle w:val="Compact"/>
              <w:jc w:val="left"/>
            </w:pPr>
            <w:r>
              <w:t xml:space="preserve">13.53%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0.106875</w:t>
            </w:r>
          </w:p>
        </w:tc>
        <w:tc>
          <w:tcPr/>
          <w:p>
            <w:pPr>
              <w:pStyle w:val="Compact"/>
              <w:jc w:val="left"/>
            </w:pPr>
            <w:r>
              <w:t xml:space="preserve">0.66%</w:t>
            </w:r>
          </w:p>
        </w:tc>
      </w:tr>
      <w:tr>
        <w:tc>
          <w:tcPr/>
          <w:p>
            <w:pPr>
              <w:pStyle w:val="Compact"/>
              <w:jc w:val="left"/>
            </w:pPr>
            <w:r>
              <w:t xml:space="preserve">Transportation and Distribution</w:t>
            </w:r>
          </w:p>
        </w:tc>
        <w:tc>
          <w:tcPr/>
          <w:p>
            <w:pPr>
              <w:pStyle w:val="Compact"/>
              <w:jc w:val="left"/>
            </w:pPr>
            <w:r>
              <w:t xml:space="preserve">Scope 3, Categories 4 &amp; 9</w:t>
            </w:r>
          </w:p>
        </w:tc>
        <w:tc>
          <w:tcPr/>
          <w:p>
            <w:pPr>
              <w:pStyle w:val="Compact"/>
              <w:jc w:val="left"/>
            </w:pPr>
            <w:r>
              <w:t xml:space="preserve">0.162</w:t>
            </w:r>
          </w:p>
        </w:tc>
        <w:tc>
          <w:tcPr/>
          <w:p>
            <w:pPr>
              <w:pStyle w:val="Compact"/>
              <w:jc w:val="left"/>
            </w:pPr>
            <w:r>
              <w:t xml:space="preserve">1.00%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13.5</w:t>
            </w:r>
          </w:p>
        </w:tc>
        <w:tc>
          <w:tcPr/>
          <w:p>
            <w:pPr>
              <w:pStyle w:val="Compact"/>
              <w:jc w:val="left"/>
            </w:pPr>
            <w:r>
              <w:t xml:space="preserve">83.27%</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0.2484</w:t>
            </w:r>
          </w:p>
        </w:tc>
        <w:tc>
          <w:tcPr/>
          <w:p>
            <w:pPr>
              <w:pStyle w:val="Compact"/>
              <w:jc w:val="left"/>
            </w:pPr>
            <w:r>
              <w:t xml:space="preserve">1.53%</w:t>
            </w:r>
          </w:p>
        </w:tc>
      </w:tr>
      <w:tr>
        <w:tc>
          <w:tcPr>
            <w:gridSpan w:val="2"/>
          </w:tcPr>
          <w:p>
            <w:pPr>
              <w:pStyle w:val="Compact"/>
              <w:jc w:val="left"/>
            </w:pPr>
            <w:r>
              <w:t xml:space="preserve">Total Product Carbon Footprint (PCF)</w:t>
            </w:r>
          </w:p>
        </w:tc>
        <w:tc>
          <w:tcPr/>
          <w:p>
            <w:pPr>
              <w:pStyle w:val="Compact"/>
              <w:jc w:val="left"/>
            </w:pPr>
            <w:r>
              <w:t xml:space="preserve">16.211275 kg CO2e</w:t>
            </w:r>
          </w:p>
        </w:tc>
        <w:tc>
          <w:tcPr/>
          <w:p>
            <w:pPr>
              <w:pStyle w:val="Compact"/>
              <w:jc w:val="left"/>
            </w:pPr>
            <w:r>
              <w:t xml:space="preserve">100.00%</w:t>
            </w:r>
          </w:p>
        </w:tc>
      </w:tr>
    </w:tbl>
    <w:p>
      <w:r>
        <w:pict>
          <v:rect style="width:0;height:1.5pt" o:hralign="center" o:hrstd="t" o:hr="t"/>
        </w:pict>
      </w:r>
    </w:p>
    <w:bookmarkEnd w:id="43"/>
    <w:bookmarkStart w:id="48" w:name="review-reporting"/>
    <w:p>
      <w:pPr>
        <w:pStyle w:val="Heading1"/>
      </w:pPr>
      <w:r>
        <w:t xml:space="preserve">5. Review &amp; Reporting</w:t>
      </w:r>
    </w:p>
    <w:bookmarkStart w:id="44" w:name="emission-hotspots"/>
    <w:p>
      <w:pPr>
        <w:pStyle w:val="Heading2"/>
      </w:pPr>
      <w:r>
        <w:t xml:space="preserve">5.1. Emission Hotspots</w:t>
      </w:r>
    </w:p>
    <w:p>
      <w:pPr>
        <w:pStyle w:val="FirstParagraph"/>
      </w:pPr>
      <w:r>
        <w:t xml:space="preserve">The analysis reveals the following emission hotspots for EcoInnovate Pro:</w:t>
      </w:r>
    </w:p>
    <w:p>
      <w:pPr>
        <w:numPr>
          <w:ilvl w:val="0"/>
          <w:numId w:val="1013"/>
        </w:numPr>
        <w:pStyle w:val="Compact"/>
      </w:pPr>
      <w:r>
        <w:rPr>
          <w:bCs/>
          <w:b/>
        </w:rPr>
        <w:t xml:space="preserve">Use Phase (83.27%):</w:t>
      </w:r>
      <w:r>
        <w:t xml:space="preserve"> </w:t>
      </w:r>
      <w:r>
        <w:t xml:space="preserve">This is by far the largest contributor to the product\'s carbon footprint, primarily due to electricity consumption over the product\'s 5-year lifespan. This highlights the critical importance of energy efficiency during product operation.</w:t>
      </w:r>
    </w:p>
    <w:p>
      <w:pPr>
        <w:numPr>
          <w:ilvl w:val="0"/>
          <w:numId w:val="1013"/>
        </w:numPr>
        <w:pStyle w:val="Compact"/>
      </w:pPr>
      <w:r>
        <w:rPr>
          <w:bCs/>
          <w:b/>
        </w:rPr>
        <w:t xml:space="preserve">Material Acquisition &amp; Pre-processing (13.53%):</w:t>
      </w:r>
      <w:r>
        <w:t xml:space="preserve"> </w:t>
      </w:r>
      <w:r>
        <w:t xml:space="preserve">The embedded emissions in raw materials, particularly the Silicon Chip (1.25 kg CO2e), are significant. Strategies for sourcing lower-carbon materials or increasing recycled content can have a substantial impact.</w:t>
      </w:r>
    </w:p>
    <w:p>
      <w:pPr>
        <w:numPr>
          <w:ilvl w:val="0"/>
          <w:numId w:val="1013"/>
        </w:numPr>
        <w:pStyle w:val="Compact"/>
      </w:pPr>
      <w:r>
        <w:rPr>
          <w:bCs/>
          <w:b/>
        </w:rPr>
        <w:t xml:space="preserve">End-of-Life Treatment (1.53%):</w:t>
      </w:r>
      <w:r>
        <w:t xml:space="preserve"> </w:t>
      </w:r>
      <w:r>
        <w:t xml:space="preserve">While not the largest, the emissions from the non-recycled portion indicate an area for continuous improvement in circularity and waste management.</w:t>
      </w:r>
    </w:p>
    <w:bookmarkEnd w:id="44"/>
    <w:bookmarkStart w:id="45" w:name="reliability-and-data-quality"/>
    <w:p>
      <w:pPr>
        <w:pStyle w:val="Heading2"/>
      </w:pPr>
      <w:r>
        <w:t xml:space="preserve">5.2. Reliability and Data Quality</w:t>
      </w:r>
    </w:p>
    <w:p>
      <w:pPr>
        <w:pStyle w:val="FirstParagraph"/>
      </w:pPr>
      <w:r>
        <w:t xml:space="preserve">The reliability of this PCF is considered high for the material acquisition phase due to the use of a detailed Bill of Materials with specific \'Total Carbon\' values. For other stages, industry-average emission factors from reputable sources (e.g., acknowledged proxy for Ecoinvent/DEFRA data where direct database access is unavailable in this environment) have been used. While efforts were made to use representative factors, some values are illustrative where specific company- or region-specific data was not provided (e.g., last-mile distance, EU grid mix for use phase). Future iterations of this PCF can enhance accuracy by incorporating more primary data for logistics, and specific regional electricity mixes for the use phase.</w:t>
      </w:r>
    </w:p>
    <w:bookmarkEnd w:id="45"/>
    <w:bookmarkStart w:id="46" w:name="ghg-protocol-scope-classification"/>
    <w:p>
      <w:pPr>
        <w:pStyle w:val="Heading2"/>
      </w:pPr>
      <w:r>
        <w:t xml:space="preserve">5.3. GHG Protocol Scope Classification</w:t>
      </w:r>
    </w:p>
    <w:p>
      <w:pPr>
        <w:pStyle w:val="FirstParagraph"/>
      </w:pPr>
      <w:r>
        <w:t xml:space="preserve">The emissions are categorized as per the GHG Protocol:</w:t>
      </w:r>
    </w:p>
    <w:p>
      <w:pPr>
        <w:numPr>
          <w:ilvl w:val="0"/>
          <w:numId w:val="1014"/>
        </w:numPr>
        <w:pStyle w:val="Compact"/>
      </w:pPr>
      <w:r>
        <w:rPr>
          <w:bCs/>
          <w:b/>
        </w:rPr>
        <w:t xml:space="preserve">Scope 1: Direct Emissions</w:t>
      </w:r>
      <w:r>
        <w:t xml:space="preserve"> </w:t>
      </w:r>
      <w:r>
        <w:t xml:space="preserve">- No direct Scope 1 emissions from manufacturing operations were explicitly identified or provided in the parameters for this product.</w:t>
      </w:r>
    </w:p>
    <w:p>
      <w:pPr>
        <w:numPr>
          <w:ilvl w:val="0"/>
          <w:numId w:val="1014"/>
        </w:numPr>
        <w:pStyle w:val="Compact"/>
      </w:pPr>
      <w:r>
        <w:rPr>
          <w:bCs/>
          <w:b/>
        </w:rPr>
        <w:t xml:space="preserve">Scope 2: Purchased Electricity Emissions</w:t>
      </w:r>
      <w:r>
        <w:t xml:space="preserve"> </w:t>
      </w:r>
      <w:r>
        <w:t xml:space="preserve">- 0.106875 kg CO2e, representing the non-renewable portion of electricity consumed during manufacturing.</w:t>
      </w:r>
    </w:p>
    <w:p>
      <w:pPr>
        <w:numPr>
          <w:ilvl w:val="0"/>
          <w:numId w:val="1014"/>
        </w:numPr>
        <w:pStyle w:val="Compact"/>
      </w:pPr>
      <w:r>
        <w:rPr>
          <w:bCs/>
          <w:b/>
        </w:rPr>
        <w:t xml:space="preserve">Scope 3: Value Chain Emissions</w:t>
      </w:r>
      <w:r>
        <w:t xml:space="preserve"> </w:t>
      </w:r>
      <w:r>
        <w:t xml:space="preserve">- 16.1044 kg CO2e, encompassing materials, transportation, product use, and end-of-life. This constitutes approximately 99.34% of the total PCF, demonstrating robust coverage of value chain impacts. This exceeds the proposed 2026 requirement for at least 95% Scope 3 coverage.</w:t>
      </w:r>
    </w:p>
    <w:p>
      <w:pPr>
        <w:pStyle w:val="FirstParagraph"/>
      </w:pPr>
      <w:r>
        <w:t xml:space="preserve">Total PCF = Scope 2 + Scope 3 = 0.106875 + 16.1044 = 16.211275 kg CO2e.</w:t>
      </w:r>
    </w:p>
    <w:bookmarkEnd w:id="46"/>
    <w:bookmarkStart w:id="47" w:name="lsr-update-considerations"/>
    <w:p>
      <w:pPr>
        <w:pStyle w:val="Heading2"/>
      </w:pPr>
      <w:r>
        <w:t xml:space="preserve">5.4. 2026 LSR Update Considerations</w:t>
      </w:r>
    </w:p>
    <w:p>
      <w:pPr>
        <w:pStyle w:val="FirstParagraph"/>
      </w:pPr>
      <w:r>
        <w:t xml:space="preserve">The GHG Protocol\'s Land Sector and Removals (LSR) Standard, while primarily addressing land-intensive activities and CO2 removals, implicitly influences the bioplastic components in the Bill of Materials. Although specific carbon removal data for the bioplastic was not provided, future PCF analyses could leverage the LSR Standard\'s guidance (expected Q2 2026) to quantify potential biogenic carbon removals associated with sustainable biomass sourcing or land management practices in the upstream supply chain.</w:t>
      </w:r>
    </w:p>
    <w:p>
      <w:r>
        <w:pict>
          <v:rect style="width:0;height:1.5pt" o:hralign="center" o:hrstd="t" o:hr="t"/>
        </w:pict>
      </w:r>
    </w:p>
    <w:bookmarkEnd w:id="47"/>
    <w:bookmarkEnd w:id="48"/>
    <w:bookmarkStart w:id="49" w:name="recommendations-and-next-steps"/>
    <w:p>
      <w:pPr>
        <w:pStyle w:val="Heading1"/>
      </w:pPr>
      <w:r>
        <w:t xml:space="preserve">6. Recommendations and Next Steps</w:t>
      </w:r>
    </w:p>
    <w:p>
      <w:pPr>
        <w:pStyle w:val="FirstParagraph"/>
      </w:pPr>
      <w:r>
        <w:t xml:space="preserve">Based on this PCF analysis, GreenPath Dynamics should consider the following:</w:t>
      </w:r>
    </w:p>
    <w:p>
      <w:pPr>
        <w:numPr>
          <w:ilvl w:val="0"/>
          <w:numId w:val="1015"/>
        </w:numPr>
        <w:pStyle w:val="Compact"/>
      </w:pPr>
      <w:r>
        <w:rPr>
          <w:bCs/>
          <w:b/>
        </w:rPr>
        <w:t xml:space="preserve">Optimize Use Phase Efficiency:</w:t>
      </w:r>
      <w:r>
        <w:t xml:space="preserve"> </w:t>
      </w:r>
      <w:r>
        <w:t xml:space="preserve">Given the dominance of use phase emissions, investigate opportunities to improve the energy efficiency of EcoInnovate Pro during operation. This could involve design changes, power management features, or providing guidance to users on efficient operation.</w:t>
      </w:r>
    </w:p>
    <w:p>
      <w:pPr>
        <w:numPr>
          <w:ilvl w:val="0"/>
          <w:numId w:val="1015"/>
        </w:numPr>
        <w:pStyle w:val="Compact"/>
      </w:pPr>
      <w:r>
        <w:rPr>
          <w:bCs/>
          <w:b/>
        </w:rPr>
        <w:t xml:space="preserve">Decarbonize Material Sourcing:</w:t>
      </w:r>
      <w:r>
        <w:t xml:space="preserve"> </w:t>
      </w:r>
      <w:r>
        <w:t xml:space="preserve">Focus on suppliers committed to decarbonization, especially for high-impact components like silicon and aluminum. Explore further integration of high-recycled content or bio-based materials with verifiable low-carbon footprints.</w:t>
      </w:r>
    </w:p>
    <w:p>
      <w:pPr>
        <w:numPr>
          <w:ilvl w:val="0"/>
          <w:numId w:val="1015"/>
        </w:numPr>
        <w:pStyle w:val="Compact"/>
      </w:pPr>
      <w:r>
        <w:rPr>
          <w:bCs/>
          <w:b/>
        </w:rPr>
        <w:t xml:space="preserve">Enhance Supply Chain Transparency:</w:t>
      </w:r>
      <w:r>
        <w:t xml:space="preserve"> </w:t>
      </w:r>
      <w:r>
        <w:t xml:space="preserve">Collaborate with upstream suppliers to obtain primary data on material production and transportation, further improving the accuracy of Scope 3, Category 1 and 4 emissions.</w:t>
      </w:r>
    </w:p>
    <w:p>
      <w:pPr>
        <w:numPr>
          <w:ilvl w:val="0"/>
          <w:numId w:val="1015"/>
        </w:numPr>
        <w:pStyle w:val="Compact"/>
      </w:pPr>
      <w:r>
        <w:rPr>
          <w:bCs/>
          <w:b/>
        </w:rPr>
        <w:t xml:space="preserve">Strengthen Circularity:</w:t>
      </w:r>
      <w:r>
        <w:t xml:space="preserve"> </w:t>
      </w:r>
      <w:r>
        <w:t xml:space="preserve">Continue to invest in and expand regional collection and refurbishment programs to increase the effective recycling rate beyond 80% and explore opportunities for product-as-a-service models or closed-loop material cycles.</w:t>
      </w:r>
    </w:p>
    <w:p>
      <w:pPr>
        <w:numPr>
          <w:ilvl w:val="0"/>
          <w:numId w:val="1015"/>
        </w:numPr>
        <w:pStyle w:val="Compact"/>
      </w:pPr>
      <w:r>
        <w:rPr>
          <w:bCs/>
          <w:b/>
        </w:rPr>
        <w:t xml:space="preserve">Monitor GHG Protocol Updates:</w:t>
      </w:r>
      <w:r>
        <w:t xml:space="preserve"> </w:t>
      </w:r>
      <w:r>
        <w:t xml:space="preserve">Stay abreast of the evolving GHG Protocol standards, particularly the upcoming LSR guidance and finalized Scope 3 requirements, to ensure ongoing compliance and best-in-class reporting.</w:t>
      </w:r>
    </w:p>
    <w:p>
      <w:pPr>
        <w:pStyle w:val="FirstParagraph"/>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EcoInnovate Pro</dc:title>
  <dc:creator/>
  <dc:description>High-detail Product Carbon Footprint (PCF) analysis for EcoInnovate Pro by GreenPath Dynamics, performed by Senior Sustainability Consultant thdpnjnvrh, adhering to GHG Protocol standards including the 2026 LSR Update and Scope 3 compliance.</dc:description>
  <dc:language>en</dc:language>
  <cp:keywords/>
  <dcterms:created xsi:type="dcterms:W3CDTF">2026-07-15T04:02:15Z</dcterms:created>
  <dcterms:modified xsi:type="dcterms:W3CDTF">2026-07-15T04:02:15Z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