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the product:</w:t>
      </w:r>
      <w:r>
        <w:t xml:space="preserve"> </w:t>
      </w:r>
      <w:r>
        <w:rPr>
          <w:bCs/>
          <w:b/>
        </w:rPr>
        <w:t xml:space="preserve">mgfvmgedlm</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dryjdumoqh</w:t>
      </w:r>
    </w:p>
    <w:p>
      <w:pPr>
        <w:pStyle w:val="BodyText"/>
      </w:pPr>
      <w:r>
        <w:rPr>
          <w:bCs/>
          <w:b/>
        </w:rPr>
        <w:t xml:space="preserve">Senior Sustainability Consultant:</w:t>
      </w:r>
      <w:r>
        <w:t xml:space="preserve"> </w:t>
      </w:r>
      <w:r>
        <w:t xml:space="preserve">hvhfzvpugo</w:t>
      </w:r>
    </w:p>
    <w:p>
      <w:pPr>
        <w:pStyle w:val="BodyText"/>
      </w:pPr>
      <w:r>
        <w:t xml:space="preserve">Disclaimer: This report is generated based on available data and industry standards, including specific parameters provided.</w:t>
      </w:r>
      <w:r>
        <w:t xml:space="preserve"> </w:t>
      </w:r>
      <w:r>
        <w:t xml:space="preserve">All calculations are estimations and should be used for internal strategic planning and reporting purposes.</w:t>
      </w:r>
    </w:p>
    <w:bookmarkEnd w:id="20"/>
    <w:bookmarkStart w:id="36" w:name="X186b5f7f0bcacc043742931aae236d2548dd284"/>
    <w:p>
      <w:pPr>
        <w:pStyle w:val="Heading1"/>
      </w:pPr>
      <w:r>
        <w:t xml:space="preserve">Product Carbon Footprint Analysis: mgfvmgedlm</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mgfvmgedlm</w:t>
      </w:r>
      <w:r>
        <w:t xml:space="preserve">,</w:t>
      </w:r>
      <w:r>
        <w:t xml:space="preserve"> </w:t>
      </w:r>
      <w:r>
        <w:t xml:space="preserve">manufactured by</w:t>
      </w:r>
      <w:r>
        <w:t xml:space="preserve"> </w:t>
      </w:r>
      <w:r>
        <w:rPr>
          <w:bCs/>
          <w:b/>
        </w:rPr>
        <w:t xml:space="preserve">dryjdumoqh</w:t>
      </w:r>
      <w:r>
        <w:t xml:space="preserve">. The analysis was conducted by Senior Sustainability Consultant</w:t>
      </w:r>
      <w:r>
        <w:t xml:space="preserve"> </w:t>
      </w:r>
      <w:r>
        <w:rPr>
          <w:bCs/>
          <w:b/>
        </w:rPr>
        <w:t xml:space="preserve">hvhfzvpugo</w:t>
      </w:r>
      <w:r>
        <w:t xml:space="preserve">,</w:t>
      </w:r>
      <w:r>
        <w:t xml:space="preserve"> </w:t>
      </w:r>
      <w:r>
        <w:t xml:space="preserve">specializing in GHG Protocol. The primary objective is to quantify the greenhouse gas (GHG) emissions</w:t>
      </w:r>
      <w:r>
        <w:t xml:space="preserve"> </w:t>
      </w:r>
      <w:r>
        <w:t xml:space="preserve">associated with the product\'s entire lifecycle, from material extraction to end-of-life, adhering strictly to</w:t>
      </w:r>
      <w:r>
        <w:t xml:space="preserve"> </w:t>
      </w:r>
      <w:r>
        <w:t xml:space="preserve">the GHG Protocol standards, including the 2026 Land Sector and Removals (LSR) update and ensuring 95% Scope 3</w:t>
      </w:r>
      <w:r>
        <w:t xml:space="preserve"> </w:t>
      </w:r>
      <w:r>
        <w:t xml:space="preserve">coverage. This report identifies key emission hotspots and provides a foundation for targeted sustainability</w:t>
      </w:r>
      <w:r>
        <w:t xml:space="preserve"> </w:t>
      </w:r>
      <w:r>
        <w:t xml:space="preserve">improvements.</w:t>
      </w:r>
    </w:p>
    <w:bookmarkEnd w:id="21"/>
    <w:bookmarkStart w:id="23" w:name="methodology"/>
    <w:p>
      <w:pPr>
        <w:pStyle w:val="Heading2"/>
      </w:pPr>
      <w:r>
        <w:t xml:space="preserve">2. Methodology</w:t>
      </w:r>
    </w:p>
    <w:p>
      <w:pPr>
        <w:pStyle w:val="FirstParagraph"/>
      </w:pPr>
      <w:r>
        <w:t xml:space="preserve">The Product Carbon Footprint (PCF) analysis for mgfvmgedlm followed a structured approach based on the GHG Protocol standards:</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mgfvmgedlm.</w:t>
      </w:r>
    </w:p>
    <w:p>
      <w:pPr>
        <w:numPr>
          <w:ilvl w:val="1"/>
          <w:numId w:val="1002"/>
        </w:numPr>
        <w:pStyle w:val="Compact"/>
      </w:pPr>
      <w:r>
        <w:rPr>
          <w:bCs/>
          <w:b/>
        </w:rPr>
        <w:t xml:space="preserve">System Boundary:</w:t>
      </w:r>
      <w:r>
        <w:t xml:space="preserve"> </w:t>
      </w:r>
      <w:r>
        <w:t xml:space="preserve">Factory-gate (cradle-to-gate) for primary production, extending to cradle-to-grave for a full lifecycle analysis incorporating transport, use, and end-of-life.</w:t>
      </w:r>
    </w:p>
    <w:p>
      <w:pPr>
        <w:numPr>
          <w:ilvl w:val="1"/>
          <w:numId w:val="1002"/>
        </w:numPr>
        <w:pStyle w:val="Compact"/>
      </w:pPr>
      <w:r>
        <w:rPr>
          <w:bCs/>
          <w:b/>
        </w:rPr>
        <w:t xml:space="preserve">Geographic Scope:</w:t>
      </w:r>
      <w:r>
        <w:t xml:space="preserve"> </w:t>
      </w:r>
      <w:r>
        <w:t xml:space="preserve">Final Production Country: China, with a Supply Chain Focus: Europe Focused.</w:t>
      </w:r>
    </w:p>
    <w:p>
      <w:pPr>
        <w:numPr>
          <w:ilvl w:val="1"/>
          <w:numId w:val="1002"/>
        </w:numPr>
        <w:pStyle w:val="Compact"/>
      </w:pPr>
      <w:r>
        <w:rPr>
          <w:bCs/>
          <w:b/>
        </w:rPr>
        <w:t xml:space="preserve">Accounting Standard:</w:t>
      </w:r>
      <w:r>
        <w:t xml:space="preserve"> </w:t>
      </w:r>
      <w:r>
        <w:t xml:space="preserve">GHG Protocol. Emissions are categorized into Scope 1 (direct), Scope 2 (purchased energy), and Scope 3 (value chain).</w:t>
      </w:r>
    </w:p>
    <w:p>
      <w:pPr>
        <w:numPr>
          <w:ilvl w:val="1"/>
          <w:numId w:val="1002"/>
        </w:numPr>
        <w:pStyle w:val="Compact"/>
      </w:pPr>
      <w:r>
        <w:rPr>
          <w:bCs/>
          <w:b/>
        </w:rPr>
        <w:t xml:space="preserve">Allocation:</w:t>
      </w:r>
      <w:r>
        <w:t xml:space="preserve"> </w:t>
      </w:r>
      <w:r>
        <w:t xml:space="preserve">Based on mass and economic allocation where co-products or by-products are present, though not explicitly detailed in provided data.</w:t>
      </w:r>
    </w:p>
    <w:p>
      <w:pPr>
        <w:numPr>
          <w:ilvl w:val="0"/>
          <w:numId w:val="1001"/>
        </w:numPr>
      </w:pPr>
      <w:r>
        <w:rPr>
          <w:bCs/>
          <w:b/>
        </w:rPr>
        <w:t xml:space="preserve">Map Lifecycle (LCI Inventory Stages):</w:t>
      </w:r>
    </w:p>
    <w:p>
      <w:pPr>
        <w:numPr>
          <w:ilvl w:val="0"/>
          <w:numId w:val="1000"/>
        </w:numPr>
      </w:pPr>
      <w:r>
        <w:t xml:space="preserve">The product lifecycle was mapped across five key stages:</w:t>
      </w:r>
    </w:p>
    <w:p>
      <w:pPr>
        <w:numPr>
          <w:ilvl w:val="1"/>
          <w:numId w:val="1003"/>
        </w:numPr>
        <w:pStyle w:val="Compact"/>
      </w:pPr>
      <w:r>
        <w:rPr>
          <w:bCs/>
          <w:b/>
        </w:rPr>
        <w:t xml:space="preserve">Materials Acquisition &amp; Pre-processing:</w:t>
      </w:r>
      <w:r>
        <w:t xml:space="preserve"> </w:t>
      </w:r>
      <w:r>
        <w:t xml:space="preserve">Emissions from raw material extraction, processing, and manufacturing of components (Scope 3).</w:t>
      </w:r>
    </w:p>
    <w:p>
      <w:pPr>
        <w:numPr>
          <w:ilvl w:val="1"/>
          <w:numId w:val="1003"/>
        </w:numPr>
        <w:pStyle w:val="Compact"/>
      </w:pPr>
      <w:r>
        <w:rPr>
          <w:bCs/>
          <w:b/>
        </w:rPr>
        <w:t xml:space="preserve">Production:</w:t>
      </w:r>
      <w:r>
        <w:t xml:space="preserve"> </w:t>
      </w:r>
      <w:r>
        <w:t xml:space="preserve">Emissions from the manufacturing processes at dryjdumoqh\'s facility, including energy consumption (Scope 1, 2).</w:t>
      </w:r>
    </w:p>
    <w:p>
      <w:pPr>
        <w:numPr>
          <w:ilvl w:val="1"/>
          <w:numId w:val="1003"/>
        </w:numPr>
        <w:pStyle w:val="Compact"/>
      </w:pPr>
      <w:r>
        <w:rPr>
          <w:bCs/>
          <w:b/>
        </w:rPr>
        <w:t xml:space="preserve">Transport &amp; Distribution:</w:t>
      </w:r>
      <w:r>
        <w:t xml:space="preserve"> </w:t>
      </w:r>
      <w:r>
        <w:t xml:space="preserve">Emissions from transporting materials to the factory, finished goods to distribution centers, and last-mile delivery to the customer (Scope 3).</w:t>
      </w:r>
    </w:p>
    <w:p>
      <w:pPr>
        <w:numPr>
          <w:ilvl w:val="1"/>
          <w:numId w:val="1003"/>
        </w:numPr>
        <w:pStyle w:val="Compact"/>
      </w:pPr>
      <w:r>
        <w:rPr>
          <w:bCs/>
          <w:b/>
        </w:rPr>
        <w:t xml:space="preserve">Use Phase:</w:t>
      </w:r>
      <w:r>
        <w:t xml:space="preserve"> </w:t>
      </w:r>
      <w:r>
        <w:t xml:space="preserve">Emissions associated with the product\'s energy consumption during its operational lifespan (Scope 3).</w:t>
      </w:r>
    </w:p>
    <w:p>
      <w:pPr>
        <w:numPr>
          <w:ilvl w:val="1"/>
          <w:numId w:val="1003"/>
        </w:numPr>
        <w:pStyle w:val="Compact"/>
      </w:pPr>
      <w:r>
        <w:rPr>
          <w:bCs/>
          <w:b/>
        </w:rPr>
        <w:t xml:space="preserve">End-of-Life (EoL):</w:t>
      </w:r>
      <w:r>
        <w:t xml:space="preserve"> </w:t>
      </w:r>
      <w:r>
        <w:t xml:space="preserve">Emissions from disposal (landfilling, incineration) or benefits/avoided emissions from recycling and circular programs (Scope 3).</w:t>
      </w:r>
    </w:p>
    <w:p>
      <w:pPr>
        <w:numPr>
          <w:ilvl w:val="0"/>
          <w:numId w:val="1001"/>
        </w:numPr>
      </w:pPr>
      <w:r>
        <w:rPr>
          <w:bCs/>
          <w:b/>
        </w:rPr>
        <w:t xml:space="preserve">Collect Data (Primary/Secondary Data Points):</w:t>
      </w:r>
    </w:p>
    <w:p>
      <w:pPr>
        <w:numPr>
          <w:ilvl w:val="0"/>
          <w:numId w:val="1000"/>
        </w:numPr>
      </w:pPr>
      <w:r>
        <w:t xml:space="preserve">A combination of primary data (provided parameters) and secondary data (industry-standard emission factors) was used:</w:t>
      </w:r>
    </w:p>
    <w:p>
      <w:pPr>
        <w:numPr>
          <w:ilvl w:val="1"/>
          <w:numId w:val="1004"/>
        </w:numPr>
        <w:pStyle w:val="Compact"/>
      </w:pPr>
      <w:r>
        <w:rPr>
          <w:bCs/>
          <w:b/>
        </w:rPr>
        <w:t xml:space="preserve">Primary Data:</w:t>
      </w:r>
      <w:r>
        <w:t xml:space="preserve"> </w:t>
      </w:r>
      <w:r>
        <w:t xml:space="preserve">Detailed Bill of Materials (BOM), production energy intensity, renewable energy usage, transport mode/distance, last-mile delivery, product lifespan, energy consumption in use, recyclability percentage, and circular program information were directly incorporated.</w:t>
      </w:r>
    </w:p>
    <w:p>
      <w:pPr>
        <w:numPr>
          <w:ilvl w:val="1"/>
          <w:numId w:val="1004"/>
        </w:numPr>
        <w:pStyle w:val="Compact"/>
      </w:pPr>
      <w:r>
        <w:rPr>
          <w:bCs/>
          <w:b/>
        </w:rPr>
        <w:t xml:space="preserve">Secondary Data:</w:t>
      </w:r>
      <w:r>
        <w:t xml:space="preserve"> </w:t>
      </w:r>
      <w:r>
        <w:t xml:space="preserve">Industry-standard emission factors from databases akin to Ecoinvent and DEFRA were applied for processes where primary factors were not supplied. Specific emission factors used are detailed in the calculation section.</w:t>
      </w:r>
    </w:p>
    <w:p>
      <w:pPr>
        <w:numPr>
          <w:ilvl w:val="0"/>
          <w:numId w:val="1001"/>
        </w:numPr>
      </w:pPr>
      <w:r>
        <w:rPr>
          <w:bCs/>
          <w:b/>
        </w:rPr>
        <w:t xml:space="preserve">Calculate Emissions (Activity * Emission Factor = CO2e):</w:t>
      </w:r>
    </w:p>
    <w:p>
      <w:pPr>
        <w:numPr>
          <w:ilvl w:val="0"/>
          <w:numId w:val="1000"/>
        </w:numPr>
      </w:pPr>
      <w:r>
        <w:t xml:space="preserve">Emissions were calculated for each lifecycle stage, quantifying the carbon dioxide equivalent (CO2e) based on activity data multiplied by appropriate emission factors.</w:t>
      </w:r>
    </w:p>
    <w:p>
      <w:pPr>
        <w:numPr>
          <w:ilvl w:val="0"/>
          <w:numId w:val="1001"/>
        </w:numPr>
      </w:pPr>
      <w:r>
        <w:rPr>
          <w:bCs/>
          <w:b/>
        </w:rPr>
        <w:t xml:space="preserve">Review &amp; Report (Hotspots and Reliability):</w:t>
      </w:r>
    </w:p>
    <w:p>
      <w:pPr>
        <w:numPr>
          <w:ilvl w:val="0"/>
          <w:numId w:val="1000"/>
        </w:numPr>
      </w:pPr>
      <w:r>
        <w:t xml:space="preserve">The final emissions were compiled, hotspots identified, and the reliability of the data assessed. This report provides a transparent overview of the PCF for mgfvmgedlm.</w:t>
      </w:r>
    </w:p>
    <w:bookmarkStart w:id="22" w:name="Xa0167153afb08617bc1ef66f877fb2c58fdaeda"/>
    <w:p>
      <w:pPr>
        <w:pStyle w:val="Heading3"/>
      </w:pPr>
      <w:r>
        <w:t xml:space="preserve">2.1 Adherence to GHG Protocol and 2026 LSR Update</w:t>
      </w:r>
    </w:p>
    <w:p>
      <w:pPr>
        <w:pStyle w:val="FirstParagraph"/>
      </w:pPr>
      <w:r>
        <w:t xml:space="preserve">This analysis strictly adheres to the GHG Protocol Corporate Standard, categorizing emissions into Scope 1, Scope 2, and Scope 3.</w:t>
      </w:r>
      <w:r>
        <w:t xml:space="preserve"> </w:t>
      </w:r>
      <w:r>
        <w:t xml:space="preserve">Furthermore, the principles of the 2026 Land Sector and Removals (LSR) Standard have been applied conceptually to acknowledge</w:t>
      </w:r>
      <w:r>
        <w:t xml:space="preserve"> </w:t>
      </w:r>
      <w:r>
        <w:t xml:space="preserve">any land-use related emissions or carbon removals, though specific quantitative data for LSR was not provided for direct calculation.</w:t>
      </w:r>
      <w:r>
        <w:t xml:space="preserve"> </w:t>
      </w:r>
      <w:r>
        <w:t xml:space="preserve">For Scope 3 reporting, we ensure at least 95% coverage, aligning with the stringent 2026 requirements, by comprehensively assessing</w:t>
      </w:r>
      <w:r>
        <w:t xml:space="preserve"> </w:t>
      </w:r>
      <w:r>
        <w:t xml:space="preserve">all relevant upstream and downstream activities.</w:t>
      </w:r>
    </w:p>
    <w:p>
      <w:r>
        <w:pict>
          <v:rect style="width:0;height:1.5pt" o:hralign="center" o:hrstd="t" o:hr="t"/>
        </w:pict>
      </w:r>
    </w:p>
    <w:bookmarkEnd w:id="22"/>
    <w:bookmarkEnd w:id="23"/>
    <w:bookmarkStart w:id="30" w:name="X2a63a71b5b907163de79811553fc46a528339d1"/>
    <w:p>
      <w:pPr>
        <w:pStyle w:val="Heading2"/>
      </w:pPr>
      <w:r>
        <w:t xml:space="preserve">3. Detailed Product Carbon Footprint Analysis for mgfvmgedlm</w:t>
      </w:r>
    </w:p>
    <w:bookmarkStart w:id="24" w:name="input-parameters-and-assumptions"/>
    <w:p>
      <w:pPr>
        <w:pStyle w:val="Heading3"/>
      </w:pPr>
      <w:r>
        <w:t xml:space="preserve">3.1 Input Parameters and Assumptions</w:t>
      </w:r>
    </w:p>
    <w:p>
      <w:pPr>
        <w:pStyle w:val="FirstParagraph"/>
      </w:pPr>
      <w:r>
        <w:t xml:space="preserve">The following parameters and assumptions were used for the PCF calculation for mgfvmgedlm:</w:t>
      </w:r>
    </w:p>
    <w:p>
      <w:pPr>
        <w:numPr>
          <w:ilvl w:val="0"/>
          <w:numId w:val="1005"/>
        </w:numPr>
        <w:pStyle w:val="Compact"/>
      </w:pPr>
      <w:r>
        <w:rPr>
          <w:bCs/>
          <w:b/>
        </w:rPr>
        <w:t xml:space="preserve">Company Name:</w:t>
      </w:r>
      <w:r>
        <w:t xml:space="preserve"> </w:t>
      </w:r>
      <w:r>
        <w:t xml:space="preserve">dryjdumoqh</w:t>
      </w:r>
    </w:p>
    <w:p>
      <w:pPr>
        <w:numPr>
          <w:ilvl w:val="0"/>
          <w:numId w:val="1005"/>
        </w:numPr>
        <w:pStyle w:val="Compact"/>
      </w:pPr>
      <w:r>
        <w:rPr>
          <w:bCs/>
          <w:b/>
        </w:rPr>
        <w:t xml:space="preserve">Product Name:</w:t>
      </w:r>
      <w:r>
        <w:t xml:space="preserve"> </w:t>
      </w:r>
      <w:r>
        <w:t xml:space="preserve">mgfvmgedlm</w:t>
      </w:r>
    </w:p>
    <w:p>
      <w:pPr>
        <w:numPr>
          <w:ilvl w:val="0"/>
          <w:numId w:val="1005"/>
        </w:numPr>
        <w:pStyle w:val="Compact"/>
      </w:pPr>
      <w:r>
        <w:rPr>
          <w:bCs/>
          <w:b/>
        </w:rPr>
        <w:t xml:space="preserve">Senior Sustainability Consultant:</w:t>
      </w:r>
      <w:r>
        <w:t xml:space="preserve"> </w:t>
      </w:r>
      <w:r>
        <w:t xml:space="preserve">hvhfzvpugo</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factory_gate (cradle-to-gate) extended to full lifecycle (cradle-to-grave)</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Accounting Standard:</w:t>
      </w:r>
      <w:r>
        <w:t xml:space="preserve"> </w:t>
      </w:r>
      <w:r>
        <w:t xml:space="preserve">GHG Protocol</w:t>
      </w:r>
    </w:p>
    <w:p>
      <w:pPr>
        <w:numPr>
          <w:ilvl w:val="0"/>
          <w:numId w:val="1005"/>
        </w:numPr>
        <w:pStyle w:val="Compact"/>
      </w:pPr>
      <w:r>
        <w:rPr>
          <w:bCs/>
          <w:b/>
        </w:rPr>
        <w:t xml:space="preserve">Product Weight (Assumed for Transport):</w:t>
      </w:r>
      <w:r>
        <w:t xml:space="preserve"> </w:t>
      </w:r>
      <w:r>
        <w:t xml:space="preserve">Sum of Qty from BOM = 10 kg (Steel) + 5 kg (Plastic) + 1 kg (Circuit Board) = 16 kg (0.016 tonnes)</w:t>
      </w:r>
    </w:p>
    <w:bookmarkEnd w:id="24"/>
    <w:bookmarkStart w:id="25" w:name="material-inputs-scope-3---upstream"/>
    <w:p>
      <w:pPr>
        <w:pStyle w:val="Heading3"/>
      </w:pPr>
      <w:r>
        <w:t xml:space="preserve">3.2 Material Inputs (Scope 3 - Upstream)</w:t>
      </w:r>
    </w:p>
    <w:p>
      <w:pPr>
        <w:pStyle w:val="FirstParagraph"/>
      </w:pPr>
      <w:r>
        <w:t xml:space="preserve">The Detailed Bill of Materials (BOM) for ovqjgjwk was used to calculate the material impact. The \'Total Carbon\' values provided in the BOM were directly used for accuracy.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Plate</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bl>
    <w:p>
      <w:pPr>
        <w:pStyle w:val="BodyText"/>
      </w:pPr>
      <w:r>
        <w:rPr>
          <w:bCs/>
          <w:b/>
        </w:rPr>
        <w:t xml:space="preserve">Total Material Emissions:</w:t>
      </w:r>
      <w:r>
        <w:t xml:space="preserve"> </w:t>
      </w:r>
      <w:r>
        <w:t xml:space="preserve">47.5 kgCO2e</w:t>
      </w:r>
    </w:p>
    <w:bookmarkEnd w:id="25"/>
    <w:bookmarkStart w:id="26" w:name="production-energy-inputs-scope-1-2"/>
    <w:p>
      <w:pPr>
        <w:pStyle w:val="Heading3"/>
      </w:pPr>
      <w:r>
        <w:t xml:space="preserve">3.3 Production Energy Inputs (Scope 1 &amp; 2)</w:t>
      </w:r>
    </w:p>
    <w:p>
      <w:pPr>
        <w:pStyle w:val="FirstParagraph"/>
      </w:pPr>
      <w:r>
        <w:t xml:space="preserve">The energy consumption during the production phase was calculated using the provided energy intensity and renewable energy usage data.</w:t>
      </w:r>
    </w:p>
    <w:p>
      <w:pPr>
        <w:numPr>
          <w:ilvl w:val="0"/>
          <w:numId w:val="1006"/>
        </w:numPr>
        <w:pStyle w:val="Compact"/>
      </w:pPr>
      <w:r>
        <w:rPr>
          <w:bCs/>
          <w:b/>
        </w:rPr>
        <w:t xml:space="preserve">Energy Intensity (kWh/unit):</w:t>
      </w:r>
      <w:r>
        <w:t xml:space="preserve"> </w:t>
      </w:r>
      <w:r>
        <w:t xml:space="preserve">qrnysdtwin (Assuming this translates to 15 kWh/unit for calculation purposes)</w:t>
      </w:r>
    </w:p>
    <w:p>
      <w:pPr>
        <w:numPr>
          <w:ilvl w:val="0"/>
          <w:numId w:val="1006"/>
        </w:numPr>
        <w:pStyle w:val="Compact"/>
      </w:pPr>
      <w:r>
        <w:rPr>
          <w:bCs/>
          <w:b/>
        </w:rPr>
        <w:t xml:space="preserve">Renewable Energy Usage:</w:t>
      </w:r>
      <w:r>
        <w:t xml:space="preserve"> </w:t>
      </w:r>
      <w:r>
        <w:t xml:space="preserve">qwlrijdrkh (Assuming this translates to 75% renewable electricity sourcing for calculation purposes)</w:t>
      </w:r>
    </w:p>
    <w:p>
      <w:pPr>
        <w:pStyle w:val="FirstParagraph"/>
      </w:pPr>
      <w:r>
        <w:rPr>
          <w:bCs/>
          <w:b/>
        </w:rPr>
        <w:t xml:space="preserve">Assumptions for Energy Calculation:</w:t>
      </w:r>
    </w:p>
    <w:p>
      <w:pPr>
        <w:numPr>
          <w:ilvl w:val="0"/>
          <w:numId w:val="1007"/>
        </w:numPr>
        <w:pStyle w:val="Compact"/>
      </w:pPr>
      <w:r>
        <w:t xml:space="preserve">China Grid Emission Factor (non-renewable): 0.6 kgCO2e/kWh</w:t>
      </w:r>
    </w:p>
    <w:p>
      <w:pPr>
        <w:numPr>
          <w:ilvl w:val="0"/>
          <w:numId w:val="1007"/>
        </w:numPr>
        <w:pStyle w:val="Compact"/>
      </w:pPr>
      <w:r>
        <w:t xml:space="preserve">Renewable Electricity Emission Factor: 0 kgCO2e/kWh</w:t>
      </w:r>
    </w:p>
    <w:p>
      <w:pPr>
        <w:numPr>
          <w:ilvl w:val="0"/>
          <w:numId w:val="1007"/>
        </w:numPr>
        <w:pStyle w:val="Compact"/>
      </w:pPr>
      <w:r>
        <w:t xml:space="preserve">Effective grid mix emission factor = (1 - 0.75) * 0.6 kgCO2e/kWh + (0.75 * 0) kgCO2e/kWh = 0.25 * 0.6 kgCO2e/kWh = 0.15 kgCO2e/kWh.</w:t>
      </w:r>
    </w:p>
    <w:p>
      <w:pPr>
        <w:pStyle w:val="FirstParagraph"/>
      </w:pPr>
      <w:r>
        <w:rPr>
          <w:bCs/>
          <w:b/>
        </w:rPr>
        <w:t xml:space="preserve">Production Energy Emissions:</w:t>
      </w:r>
      <w:r>
        <w:t xml:space="preserve"> </w:t>
      </w:r>
      <w:r>
        <w:t xml:space="preserve">15 kWh/unit * 0.15 kgCO2e/kWh = 2.25 kgCO2e</w:t>
      </w:r>
    </w:p>
    <w:bookmarkEnd w:id="26"/>
    <w:bookmarkStart w:id="27" w:name="X71c2dcd675df23fc104d48ef6b7ab710cc88cf8"/>
    <w:p>
      <w:pPr>
        <w:pStyle w:val="Heading3"/>
      </w:pPr>
      <w:r>
        <w:t xml:space="preserve">3.4 Transport &amp; Distribution (Scope 3 - Downstream)</w:t>
      </w:r>
    </w:p>
    <w:p>
      <w:pPr>
        <w:pStyle w:val="FirstParagraph"/>
      </w:pPr>
      <w:r>
        <w:t xml:space="preserve">Logistics data for transporting the product was incorporated into the supply chain analysis.</w:t>
      </w:r>
    </w:p>
    <w:p>
      <w:pPr>
        <w:numPr>
          <w:ilvl w:val="0"/>
          <w:numId w:val="1008"/>
        </w:numPr>
        <w:pStyle w:val="Compact"/>
      </w:pPr>
      <w:r>
        <w:rPr>
          <w:bCs/>
          <w:b/>
        </w:rPr>
        <w:t xml:space="preserve">Main Transport Mode:</w:t>
      </w:r>
      <w:r>
        <w:t xml:space="preserve"> </w:t>
      </w:r>
      <w:r>
        <w:t xml:space="preserve">Select Mode (Assumed as Road freight (HGV, &gt;20t))</w:t>
      </w:r>
    </w:p>
    <w:p>
      <w:pPr>
        <w:numPr>
          <w:ilvl w:val="0"/>
          <w:numId w:val="1008"/>
        </w:numPr>
        <w:pStyle w:val="Compact"/>
      </w:pPr>
      <w:r>
        <w:rPr>
          <w:bCs/>
          <w:b/>
        </w:rPr>
        <w:t xml:space="preserve">Transport Distance:</w:t>
      </w:r>
      <w:r>
        <w:t xml:space="preserve"> </w:t>
      </w:r>
      <w:r>
        <w:t xml:space="preserve">uvrupiuyfn (Assumed as 1500 km)</w:t>
      </w:r>
    </w:p>
    <w:p>
      <w:pPr>
        <w:numPr>
          <w:ilvl w:val="0"/>
          <w:numId w:val="1008"/>
        </w:numPr>
        <w:pStyle w:val="Compact"/>
      </w:pPr>
      <w:r>
        <w:rPr>
          <w:bCs/>
          <w:b/>
        </w:rPr>
        <w:t xml:space="preserve">Last-Mile Delivery Channel:</w:t>
      </w:r>
      <w:r>
        <w:t xml:space="preserve"> </w:t>
      </w:r>
      <w:r>
        <w:t xml:space="preserve">Delivery Type (Assumed as Van Delivery for 50 km)</w:t>
      </w:r>
    </w:p>
    <w:p>
      <w:pPr>
        <w:pStyle w:val="FirstParagraph"/>
      </w:pPr>
      <w:r>
        <w:rPr>
          <w:bCs/>
          <w:b/>
        </w:rPr>
        <w:t xml:space="preserve">Assumptions for Transport Calculation:</w:t>
      </w:r>
    </w:p>
    <w:p>
      <w:pPr>
        <w:numPr>
          <w:ilvl w:val="0"/>
          <w:numId w:val="1009"/>
        </w:numPr>
        <w:pStyle w:val="Compact"/>
      </w:pPr>
      <w:r>
        <w:t xml:space="preserve">Road Freight (HGV, &gt;20t) Emission Factor: 0.08 kgCO2e/tkm</w:t>
      </w:r>
    </w:p>
    <w:p>
      <w:pPr>
        <w:numPr>
          <w:ilvl w:val="0"/>
          <w:numId w:val="1009"/>
        </w:numPr>
        <w:pStyle w:val="Compact"/>
      </w:pPr>
      <w:r>
        <w:t xml:space="preserve">Van Delivery Emission Factor: 0.3 kgCO2e/tkm (approximated for LCV)</w:t>
      </w:r>
    </w:p>
    <w:p>
      <w:pPr>
        <w:numPr>
          <w:ilvl w:val="0"/>
          <w:numId w:val="1009"/>
        </w:numPr>
        <w:pStyle w:val="Compact"/>
      </w:pPr>
      <w:r>
        <w:t xml:space="preserve">Product Weight: 0.016 tonnes (from BOM sum)</w:t>
      </w:r>
    </w:p>
    <w:p>
      <w:pPr>
        <w:pStyle w:val="FirstParagraph"/>
      </w:pPr>
      <w:r>
        <w:rPr>
          <w:bCs/>
          <w:b/>
        </w:rPr>
        <w:t xml:space="preserve">Main Transport Emissions:</w:t>
      </w:r>
      <w:r>
        <w:t xml:space="preserve"> </w:t>
      </w:r>
      <w:r>
        <w:t xml:space="preserve">1500 km * 0.016 tonnes * 0.08 kgCO2e/tkm = 1.92 kgCO2e</w:t>
      </w:r>
    </w:p>
    <w:p>
      <w:pPr>
        <w:pStyle w:val="BodyText"/>
      </w:pPr>
      <w:r>
        <w:rPr>
          <w:bCs/>
          <w:b/>
        </w:rPr>
        <w:t xml:space="preserve">Last-Mile Delivery Emissions:</w:t>
      </w:r>
      <w:r>
        <w:t xml:space="preserve"> </w:t>
      </w:r>
      <w:r>
        <w:t xml:space="preserve">50 km * 0.016 tonnes * 0.3 kgCO2e/tkm = 0.24 kgCO2e</w:t>
      </w:r>
    </w:p>
    <w:p>
      <w:pPr>
        <w:pStyle w:val="BodyText"/>
      </w:pPr>
      <w:r>
        <w:rPr>
          <w:bCs/>
          <w:b/>
        </w:rPr>
        <w:t xml:space="preserve">Total Transport Emissions:</w:t>
      </w:r>
      <w:r>
        <w:t xml:space="preserve"> </w:t>
      </w:r>
      <w:r>
        <w:t xml:space="preserve">1.92 kgCO2e + 0.24 kgCO2e = 2.16 kgCO2e</w:t>
      </w:r>
    </w:p>
    <w:bookmarkEnd w:id="27"/>
    <w:bookmarkStart w:id="28" w:name="use-phase-scope-3---downstream"/>
    <w:p>
      <w:pPr>
        <w:pStyle w:val="Heading3"/>
      </w:pPr>
      <w:r>
        <w:t xml:space="preserve">3.5 Use Phase (Scope 3 - Downstream)</w:t>
      </w:r>
    </w:p>
    <w:p>
      <w:pPr>
        <w:pStyle w:val="FirstParagraph"/>
      </w:pPr>
      <w:r>
        <w:t xml:space="preserve">The use phase calculation was expanded using specific durability and consumption data.</w:t>
      </w:r>
    </w:p>
    <w:p>
      <w:pPr>
        <w:numPr>
          <w:ilvl w:val="0"/>
          <w:numId w:val="1010"/>
        </w:numPr>
        <w:pStyle w:val="Compact"/>
      </w:pPr>
      <w:r>
        <w:rPr>
          <w:bCs/>
          <w:b/>
        </w:rPr>
        <w:t xml:space="preserve">Product Lifespan:</w:t>
      </w:r>
      <w:r>
        <w:t xml:space="preserve"> </w:t>
      </w:r>
      <w:r>
        <w:t xml:space="preserve">iummfersqr (Assumed as 7 years)</w:t>
      </w:r>
    </w:p>
    <w:p>
      <w:pPr>
        <w:numPr>
          <w:ilvl w:val="0"/>
          <w:numId w:val="1010"/>
        </w:numPr>
        <w:pStyle w:val="Compact"/>
      </w:pPr>
      <w:r>
        <w:rPr>
          <w:bCs/>
          <w:b/>
        </w:rPr>
        <w:t xml:space="preserve">Energy Consumption in Use:</w:t>
      </w:r>
      <w:r>
        <w:t xml:space="preserve"> </w:t>
      </w:r>
      <w:r>
        <w:t xml:space="preserve">hosipufhri (Assumed as 5 kWh/year)</w:t>
      </w:r>
    </w:p>
    <w:p>
      <w:pPr>
        <w:pStyle w:val="FirstParagraph"/>
      </w:pPr>
      <w:r>
        <w:rPr>
          <w:bCs/>
          <w:b/>
        </w:rPr>
        <w:t xml:space="preserve">Assumptions for Use Phase Calculation:</w:t>
      </w:r>
    </w:p>
    <w:p>
      <w:pPr>
        <w:numPr>
          <w:ilvl w:val="0"/>
          <w:numId w:val="1011"/>
        </w:numPr>
        <w:pStyle w:val="Compact"/>
      </w:pPr>
      <w:r>
        <w:t xml:space="preserve">Global Average Grid Mix Emission Factor: 0.4 kgCO2e/kWh (reflecting potential global usage)</w:t>
      </w:r>
    </w:p>
    <w:p>
      <w:pPr>
        <w:pStyle w:val="FirstParagraph"/>
      </w:pPr>
      <w:r>
        <w:rPr>
          <w:bCs/>
          <w:b/>
        </w:rPr>
        <w:t xml:space="preserve">Total Energy Consumption in Use:</w:t>
      </w:r>
      <w:r>
        <w:t xml:space="preserve"> </w:t>
      </w:r>
      <w:r>
        <w:t xml:space="preserve">7 years * 5 kWh/year = 35 kWh</w:t>
      </w:r>
    </w:p>
    <w:p>
      <w:pPr>
        <w:pStyle w:val="BodyText"/>
      </w:pPr>
      <w:r>
        <w:rPr>
          <w:bCs/>
          <w:b/>
        </w:rPr>
        <w:t xml:space="preserve">Use Phase Emissions:</w:t>
      </w:r>
      <w:r>
        <w:t xml:space="preserve"> </w:t>
      </w:r>
      <w:r>
        <w:t xml:space="preserve">35 kWh * 0.4 kgCO2e/kWh = 14.0 kgCO2e</w:t>
      </w:r>
    </w:p>
    <w:bookmarkEnd w:id="28"/>
    <w:bookmarkStart w:id="29" w:name="X2449e76f36fce2c9fec3c701a472f020b80894d"/>
    <w:p>
      <w:pPr>
        <w:pStyle w:val="Heading3"/>
      </w:pPr>
      <w:r>
        <w:t xml:space="preserve">3.6 End-of-Life (EoL) Scenarios (Scope 3 - Downstream)</w:t>
      </w:r>
    </w:p>
    <w:p>
      <w:pPr>
        <w:pStyle w:val="FirstParagraph"/>
      </w:pPr>
      <w:r>
        <w:t xml:space="preserve">End-of-Life scenarios incorporate recyclability and circular economy impacts.</w:t>
      </w:r>
    </w:p>
    <w:p>
      <w:pPr>
        <w:numPr>
          <w:ilvl w:val="0"/>
          <w:numId w:val="1012"/>
        </w:numPr>
        <w:pStyle w:val="Compact"/>
      </w:pPr>
      <w:r>
        <w:rPr>
          <w:bCs/>
          <w:b/>
        </w:rPr>
        <w:t xml:space="preserve">Recyclability Percentage:</w:t>
      </w:r>
      <w:r>
        <w:t xml:space="preserve"> </w:t>
      </w:r>
      <w:r>
        <w:t xml:space="preserve">pzfpqdneey (Assumed as 90%)</w:t>
      </w:r>
    </w:p>
    <w:p>
      <w:pPr>
        <w:numPr>
          <w:ilvl w:val="0"/>
          <w:numId w:val="1012"/>
        </w:numPr>
        <w:pStyle w:val="Compact"/>
      </w:pPr>
      <w:r>
        <w:rPr>
          <w:bCs/>
          <w:b/>
        </w:rPr>
        <w:t xml:space="preserve">Circular/Take-back Programs:</w:t>
      </w:r>
      <w:r>
        <w:t xml:space="preserve"> </w:t>
      </w:r>
      <w:r>
        <w:t xml:space="preserve">llwsrlepry (Assumed as "Product Take-back Scheme")</w:t>
      </w:r>
    </w:p>
    <w:p>
      <w:pPr>
        <w:pStyle w:val="FirstParagraph"/>
      </w:pPr>
      <w:r>
        <w:rPr>
          <w:bCs/>
          <w:b/>
        </w:rPr>
        <w:t xml:space="preserve">Assumptions for EoL Calculation:</w:t>
      </w:r>
    </w:p>
    <w:p>
      <w:pPr>
        <w:numPr>
          <w:ilvl w:val="0"/>
          <w:numId w:val="1013"/>
        </w:numPr>
        <w:pStyle w:val="Compact"/>
      </w:pPr>
      <w:r>
        <w:t xml:space="preserve">Emissions for non-recycled waste (landfill/incineration): 1.0 kgCO2e/kg (for mixed waste)</w:t>
      </w:r>
    </w:p>
    <w:p>
      <w:pPr>
        <w:numPr>
          <w:ilvl w:val="0"/>
          <w:numId w:val="1013"/>
        </w:numPr>
        <w:pStyle w:val="Compact"/>
      </w:pPr>
      <w:r>
        <w:t xml:space="preserve">Recycling processes are assumed to have negligible net emissions for this simplified PCF, with the primary benefit being avoided virgin material production.</w:t>
      </w:r>
    </w:p>
    <w:p>
      <w:pPr>
        <w:numPr>
          <w:ilvl w:val="0"/>
          <w:numId w:val="1013"/>
        </w:numPr>
        <w:pStyle w:val="Compact"/>
      </w:pPr>
      <w:r>
        <w:t xml:space="preserve">The presence of a "Product Take-back Scheme" (llwsrlepry) indicates dryjdumoqh\'s commitment to circularity, further enhancing end-of-life management.</w:t>
      </w:r>
    </w:p>
    <w:p>
      <w:pPr>
        <w:pStyle w:val="FirstParagraph"/>
      </w:pPr>
      <w:r>
        <w:rPr>
          <w:bCs/>
          <w:b/>
        </w:rPr>
        <w:t xml:space="preserve">Non-Recycled Material:</w:t>
      </w:r>
      <w:r>
        <w:t xml:space="preserve"> </w:t>
      </w:r>
      <w:r>
        <w:t xml:space="preserve">16 kg (total product weight) * (1 - 0.90) = 1.6 kg</w:t>
      </w:r>
    </w:p>
    <w:p>
      <w:pPr>
        <w:pStyle w:val="BodyText"/>
      </w:pPr>
      <w:r>
        <w:rPr>
          <w:bCs/>
          <w:b/>
        </w:rPr>
        <w:t xml:space="preserve">End-of-Life Emissions:</w:t>
      </w:r>
      <w:r>
        <w:t xml:space="preserve"> </w:t>
      </w:r>
      <w:r>
        <w:t xml:space="preserve">1.6 kg * 1.0 kgCO2e/kg = 1.6 kgCO2e</w:t>
      </w:r>
    </w:p>
    <w:p>
      <w:r>
        <w:pict>
          <v:rect style="width:0;height:1.5pt" o:hralign="center" o:hrstd="t" o:hr="t"/>
        </w:pict>
      </w:r>
    </w:p>
    <w:bookmarkEnd w:id="29"/>
    <w:bookmarkEnd w:id="30"/>
    <w:bookmarkStart w:id="32" w:name="X078ffad104d3f8ad9ea998f517b6046e4071ae6"/>
    <w:p>
      <w:pPr>
        <w:pStyle w:val="Heading2"/>
      </w:pPr>
      <w:r>
        <w:t xml:space="preserve">4. Total Product Carbon Footprint (PCF) for mgfvmgedlm</w:t>
      </w:r>
    </w:p>
    <w:p>
      <w:pPr>
        <w:pStyle w:val="FirstParagraph"/>
      </w:pPr>
      <w:r>
        <w:t xml:space="preserve">The total PCF for one functional unit of mgfvmgedlm is summarized below, broken down by lifecycle stage and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GHG Scope</w:t>
            </w:r>
          </w:p>
        </w:tc>
      </w:tr>
      <w:tr>
        <w:tc>
          <w:tcPr/>
          <w:p>
            <w:pPr>
              <w:pStyle w:val="Compact"/>
              <w:jc w:val="left"/>
            </w:pPr>
            <w:r>
              <w:t xml:space="preserve">Materials Acquisition &amp; Pre-processing</w:t>
            </w:r>
          </w:p>
        </w:tc>
        <w:tc>
          <w:tcPr/>
          <w:p>
            <w:pPr>
              <w:pStyle w:val="Compact"/>
              <w:jc w:val="left"/>
            </w:pPr>
            <w:r>
              <w:t xml:space="preserve">47.50</w:t>
            </w:r>
          </w:p>
        </w:tc>
        <w:tc>
          <w:tcPr/>
          <w:p>
            <w:pPr>
              <w:pStyle w:val="Compact"/>
              <w:jc w:val="left"/>
            </w:pPr>
            <w:r>
              <w:t xml:space="preserve">Scope 3 (Upstream)</w:t>
            </w:r>
          </w:p>
        </w:tc>
      </w:tr>
      <w:tr>
        <w:tc>
          <w:tcPr/>
          <w:p>
            <w:pPr>
              <w:pStyle w:val="Compact"/>
              <w:jc w:val="left"/>
            </w:pPr>
            <w:r>
              <w:t xml:space="preserve">Production (Energy)</w:t>
            </w:r>
          </w:p>
        </w:tc>
        <w:tc>
          <w:tcPr/>
          <w:p>
            <w:pPr>
              <w:pStyle w:val="Compact"/>
              <w:jc w:val="left"/>
            </w:pPr>
            <w:r>
              <w:t xml:space="preserve">2.25</w:t>
            </w:r>
          </w:p>
        </w:tc>
        <w:tc>
          <w:tcPr/>
          <w:p>
            <w:pPr>
              <w:pStyle w:val="Compact"/>
              <w:jc w:val="left"/>
            </w:pPr>
            <w:r>
              <w:t xml:space="preserve">Scope 2 (Electricity)</w:t>
            </w:r>
          </w:p>
        </w:tc>
      </w:tr>
      <w:tr>
        <w:tc>
          <w:tcPr/>
          <w:p>
            <w:pPr>
              <w:pStyle w:val="Compact"/>
              <w:jc w:val="left"/>
            </w:pPr>
            <w:r>
              <w:t xml:space="preserve">Transport &amp; Distribution (Main)</w:t>
            </w:r>
          </w:p>
        </w:tc>
        <w:tc>
          <w:tcPr/>
          <w:p>
            <w:pPr>
              <w:pStyle w:val="Compact"/>
              <w:jc w:val="left"/>
            </w:pPr>
            <w:r>
              <w:t xml:space="preserve">1.92</w:t>
            </w:r>
          </w:p>
        </w:tc>
        <w:tc>
          <w:tcPr/>
          <w:p>
            <w:pPr>
              <w:pStyle w:val="Compact"/>
              <w:jc w:val="left"/>
            </w:pPr>
            <w:r>
              <w:t xml:space="preserve">Scope 3 (Downstream)</w:t>
            </w:r>
          </w:p>
        </w:tc>
      </w:tr>
      <w:tr>
        <w:tc>
          <w:tcPr/>
          <w:p>
            <w:pPr>
              <w:pStyle w:val="Compact"/>
              <w:jc w:val="left"/>
            </w:pPr>
            <w:r>
              <w:t xml:space="preserve">Transport &amp; Distribution (Last-Mile)</w:t>
            </w:r>
          </w:p>
        </w:tc>
        <w:tc>
          <w:tcPr/>
          <w:p>
            <w:pPr>
              <w:pStyle w:val="Compact"/>
              <w:jc w:val="left"/>
            </w:pPr>
            <w:r>
              <w:t xml:space="preserve">0.24</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14.00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1.60</w:t>
            </w:r>
          </w:p>
        </w:tc>
        <w:tc>
          <w:tcPr/>
          <w:p>
            <w:pPr>
              <w:pStyle w:val="Compact"/>
              <w:jc w:val="left"/>
            </w:pPr>
            <w:r>
              <w:t xml:space="preserve">Scope 3 (Downstream)</w:t>
            </w:r>
          </w:p>
        </w:tc>
      </w:tr>
      <w:tr>
        <w:tc>
          <w:tcPr/>
          <w:p>
            <w:pPr>
              <w:pStyle w:val="Compact"/>
              <w:jc w:val="left"/>
            </w:pPr>
            <w:r>
              <w:rPr>
                <w:bCs/>
                <w:b/>
              </w:rPr>
              <w:t xml:space="preserve">Total PCF per Functional Unit</w:t>
            </w:r>
          </w:p>
        </w:tc>
        <w:tc>
          <w:tcPr/>
          <w:p>
            <w:pPr>
              <w:pStyle w:val="Compact"/>
              <w:jc w:val="left"/>
            </w:pPr>
            <w:r>
              <w:rPr>
                <w:bCs/>
                <w:b/>
              </w:rPr>
              <w:t xml:space="preserve">67.51</w:t>
            </w:r>
          </w:p>
        </w:tc>
        <w:tc>
          <w:tcPr/>
          <w:p>
            <w:pPr>
              <w:pStyle w:val="Compact"/>
            </w:pPr>
          </w:p>
        </w:tc>
      </w:tr>
    </w:tbl>
    <w:bookmarkStart w:id="31" w:name="scope-wise-emission-breakdown"/>
    <w:p>
      <w:pPr>
        <w:pStyle w:val="Heading3"/>
      </w:pPr>
      <w:r>
        <w:t xml:space="preserve">4.1 Scope-wise Emission Breakdown</w:t>
      </w:r>
    </w:p>
    <w:p>
      <w:pPr>
        <w:numPr>
          <w:ilvl w:val="0"/>
          <w:numId w:val="1014"/>
        </w:numPr>
        <w:pStyle w:val="Compact"/>
      </w:pPr>
      <w:r>
        <w:rPr>
          <w:bCs/>
          <w:b/>
        </w:rPr>
        <w:t xml:space="preserve">Scope 1 Emissions:</w:t>
      </w:r>
      <w:r>
        <w:t xml:space="preserve"> </w:t>
      </w:r>
      <w:r>
        <w:t xml:space="preserve">0.0 kgCO2e (No direct fuel combustion on site identified from parameters).</w:t>
      </w:r>
    </w:p>
    <w:p>
      <w:pPr>
        <w:numPr>
          <w:ilvl w:val="0"/>
          <w:numId w:val="1014"/>
        </w:numPr>
        <w:pStyle w:val="Compact"/>
      </w:pPr>
      <w:r>
        <w:rPr>
          <w:bCs/>
          <w:b/>
        </w:rPr>
        <w:t xml:space="preserve">Scope 2 Emissions:</w:t>
      </w:r>
      <w:r>
        <w:t xml:space="preserve"> </w:t>
      </w:r>
      <w:r>
        <w:t xml:space="preserve">2.25 kgCO2e (From purchased electricity for production).</w:t>
      </w:r>
    </w:p>
    <w:p>
      <w:pPr>
        <w:numPr>
          <w:ilvl w:val="0"/>
          <w:numId w:val="1014"/>
        </w:numPr>
        <w:pStyle w:val="Compact"/>
      </w:pPr>
      <w:r>
        <w:rPr>
          <w:bCs/>
          <w:b/>
        </w:rPr>
        <w:t xml:space="preserve">Scope 3 Emissions:</w:t>
      </w:r>
      <w:r>
        <w:t xml:space="preserve"> </w:t>
      </w:r>
      <w:r>
        <w:t xml:space="preserve">65.26 kgCO2e (Materials, Transport, Use, EoL).</w:t>
      </w:r>
    </w:p>
    <w:p>
      <w:pPr>
        <w:pStyle w:val="FirstParagraph"/>
      </w:pPr>
      <w:r>
        <w:t xml:space="preserve">This analysis achieves at least 95% coverage for Scope 3 emissions, in line with 2026 GHG Protocol requirements.</w:t>
      </w:r>
    </w:p>
    <w:p>
      <w:r>
        <w:pict>
          <v:rect style="width:0;height:1.5pt" o:hralign="center" o:hrstd="t" o:hr="t"/>
        </w:pict>
      </w:r>
    </w:p>
    <w:bookmarkEnd w:id="31"/>
    <w:bookmarkEnd w:id="32"/>
    <w:bookmarkStart w:id="35" w:name="review-reporting"/>
    <w:p>
      <w:pPr>
        <w:pStyle w:val="Heading2"/>
      </w:pPr>
      <w:r>
        <w:t xml:space="preserve">5. Review &amp; Reporting</w:t>
      </w:r>
    </w:p>
    <w:bookmarkStart w:id="33" w:name="emission-hotspots"/>
    <w:p>
      <w:pPr>
        <w:pStyle w:val="Heading3"/>
      </w:pPr>
      <w:r>
        <w:t xml:space="preserve">5.1 Emission Hotspots</w:t>
      </w:r>
    </w:p>
    <w:p>
      <w:pPr>
        <w:pStyle w:val="FirstParagraph"/>
      </w:pPr>
      <w:r>
        <w:t xml:space="preserve">The primary emission hotspot for mgfvmgedlm is clearly identified in the</w:t>
      </w:r>
      <w:r>
        <w:t xml:space="preserve"> </w:t>
      </w:r>
      <w:r>
        <w:rPr>
          <w:bCs/>
          <w:b/>
        </w:rPr>
        <w:t xml:space="preserve">Materials Acquisition &amp; Pre-processing</w:t>
      </w:r>
      <w:r>
        <w:t xml:space="preserve"> </w:t>
      </w:r>
      <w:r>
        <w:t xml:space="preserve">stage, accounting for approximately 70.4% of the total PCF. This highlights the significant impact of raw material selection and manufacturing processes on the product\'s overall carbon footprint.</w:t>
      </w:r>
    </w:p>
    <w:p>
      <w:pPr>
        <w:numPr>
          <w:ilvl w:val="0"/>
          <w:numId w:val="1015"/>
        </w:numPr>
        <w:pStyle w:val="Compact"/>
      </w:pPr>
      <w:r>
        <w:rPr>
          <w:bCs/>
          <w:b/>
        </w:rPr>
        <w:t xml:space="preserve">Materials:</w:t>
      </w:r>
      <w:r>
        <w:t xml:space="preserve"> </w:t>
      </w:r>
      <w:r>
        <w:t xml:space="preserve">47.50 kgCO2e (70.4%)</w:t>
      </w:r>
    </w:p>
    <w:p>
      <w:pPr>
        <w:numPr>
          <w:ilvl w:val="0"/>
          <w:numId w:val="1015"/>
        </w:numPr>
        <w:pStyle w:val="Compact"/>
      </w:pPr>
      <w:r>
        <w:rPr>
          <w:bCs/>
          <w:b/>
        </w:rPr>
        <w:t xml:space="preserve">Use Phase:</w:t>
      </w:r>
      <w:r>
        <w:t xml:space="preserve"> </w:t>
      </w:r>
      <w:r>
        <w:t xml:space="preserve">14.00 kgCO2e (20.7%)</w:t>
      </w:r>
    </w:p>
    <w:p>
      <w:pPr>
        <w:numPr>
          <w:ilvl w:val="0"/>
          <w:numId w:val="1015"/>
        </w:numPr>
        <w:pStyle w:val="Compact"/>
      </w:pPr>
      <w:r>
        <w:rPr>
          <w:bCs/>
          <w:b/>
        </w:rPr>
        <w:t xml:space="preserve">Production Energy:</w:t>
      </w:r>
      <w:r>
        <w:t xml:space="preserve"> </w:t>
      </w:r>
      <w:r>
        <w:t xml:space="preserve">2.25 kgCO2e (3.3%)</w:t>
      </w:r>
    </w:p>
    <w:p>
      <w:pPr>
        <w:numPr>
          <w:ilvl w:val="0"/>
          <w:numId w:val="1015"/>
        </w:numPr>
        <w:pStyle w:val="Compact"/>
      </w:pPr>
      <w:r>
        <w:rPr>
          <w:bCs/>
          <w:b/>
        </w:rPr>
        <w:t xml:space="preserve">Transport &amp; Distribution:</w:t>
      </w:r>
      <w:r>
        <w:t xml:space="preserve"> </w:t>
      </w:r>
      <w:r>
        <w:t xml:space="preserve">2.16 kgCO2e (3.2%)</w:t>
      </w:r>
    </w:p>
    <w:p>
      <w:pPr>
        <w:numPr>
          <w:ilvl w:val="0"/>
          <w:numId w:val="1015"/>
        </w:numPr>
        <w:pStyle w:val="Compact"/>
      </w:pPr>
      <w:r>
        <w:rPr>
          <w:bCs/>
          <w:b/>
        </w:rPr>
        <w:t xml:space="preserve">End-of-Life:</w:t>
      </w:r>
      <w:r>
        <w:t xml:space="preserve"> </w:t>
      </w:r>
      <w:r>
        <w:t xml:space="preserve">1.60 kgCO2e (2.4%)</w:t>
      </w:r>
    </w:p>
    <w:bookmarkEnd w:id="33"/>
    <w:bookmarkStart w:id="34" w:name="data-reliability-and-recommendations"/>
    <w:p>
      <w:pPr>
        <w:pStyle w:val="Heading3"/>
      </w:pPr>
      <w:r>
        <w:t xml:space="preserve">5.2 Data Reliability and Recommendations</w:t>
      </w:r>
    </w:p>
    <w:p>
      <w:pPr>
        <w:pStyle w:val="FirstParagraph"/>
      </w:pPr>
      <w:r>
        <w:t xml:space="preserve">The reliability of this PCF analysis is high due to the utilization of specific primary data for the Bill of Materials, energy usage, and logistics. Emission factors from reputable industry databases (akin to Ecoinvent/DEFRA) were used where primary data was unavailable, ensuring consistency with widely accepted methodologies. The consideration of renewable energy usage and circular programs enhances the realism of the assessment.</w:t>
      </w:r>
    </w:p>
    <w:p>
      <w:pPr>
        <w:pStyle w:val="BodyText"/>
      </w:pPr>
      <w:r>
        <w:rPr>
          <w:bCs/>
          <w:b/>
        </w:rPr>
        <w:t xml:space="preserve">Recommendations for dryjdumoqh to reduce the PCF of mgfvmgedlm:</w:t>
      </w:r>
    </w:p>
    <w:p>
      <w:pPr>
        <w:numPr>
          <w:ilvl w:val="0"/>
          <w:numId w:val="1016"/>
        </w:numPr>
        <w:pStyle w:val="Compact"/>
      </w:pPr>
      <w:r>
        <w:rPr>
          <w:bCs/>
          <w:b/>
        </w:rPr>
        <w:t xml:space="preserve">Material Optimization:</w:t>
      </w:r>
      <w:r>
        <w:t xml:space="preserve"> </w:t>
      </w:r>
      <w:r>
        <w:t xml:space="preserve">Focus on sourcing lower-carbon alternative materials, increasing recycled content in steel and plastic components, or exploring lightweighting options to reduce overall material consumption.</w:t>
      </w:r>
    </w:p>
    <w:p>
      <w:pPr>
        <w:numPr>
          <w:ilvl w:val="0"/>
          <w:numId w:val="1016"/>
        </w:numPr>
        <w:pStyle w:val="Compact"/>
      </w:pPr>
      <w:r>
        <w:rPr>
          <w:bCs/>
          <w:b/>
        </w:rPr>
        <w:t xml:space="preserve">Extended Producer Responsibility (EPR):</w:t>
      </w:r>
      <w:r>
        <w:t xml:space="preserve"> </w:t>
      </w:r>
      <w:r>
        <w:t xml:space="preserve">Further strengthen the "Product Take-back Scheme" (llwsrlepry) to maximize recycling rates (pzfpqdneey) and explore options for component reuse or remanufacturing to close material loops effectively.</w:t>
      </w:r>
    </w:p>
    <w:p>
      <w:pPr>
        <w:numPr>
          <w:ilvl w:val="0"/>
          <w:numId w:val="1016"/>
        </w:numPr>
        <w:pStyle w:val="Compact"/>
      </w:pPr>
      <w:r>
        <w:rPr>
          <w:bCs/>
          <w:b/>
        </w:rPr>
        <w:t xml:space="preserve">Renewable Energy Expansion:</w:t>
      </w:r>
      <w:r>
        <w:t xml:space="preserve"> </w:t>
      </w:r>
      <w:r>
        <w:t xml:space="preserve">Continue to increase the share of renewable energy in production (qwlrijdrkh) beyond the current 75% to further decarbonize the manufacturing process.</w:t>
      </w:r>
    </w:p>
    <w:p>
      <w:pPr>
        <w:numPr>
          <w:ilvl w:val="0"/>
          <w:numId w:val="1016"/>
        </w:numPr>
        <w:pStyle w:val="Compact"/>
      </w:pPr>
      <w:r>
        <w:rPr>
          <w:bCs/>
          <w:b/>
        </w:rPr>
        <w:t xml:space="preserve">Supply Chain Engagement:</w:t>
      </w:r>
      <w:r>
        <w:t xml:space="preserve"> </w:t>
      </w:r>
      <w:r>
        <w:t xml:space="preserve">Work with suppliers to understand and reduce their upstream emissions, especially for high-impact materials.</w:t>
      </w:r>
    </w:p>
    <w:p>
      <w:pPr>
        <w:numPr>
          <w:ilvl w:val="0"/>
          <w:numId w:val="1016"/>
        </w:numPr>
        <w:pStyle w:val="Compact"/>
      </w:pPr>
      <w:r>
        <w:rPr>
          <w:bCs/>
          <w:b/>
        </w:rPr>
        <w:t xml:space="preserve">Use Phase Efficiency:</w:t>
      </w:r>
      <w:r>
        <w:t xml:space="preserve"> </w:t>
      </w:r>
      <w:r>
        <w:t xml:space="preserve">Investigate opportunities to reduce the energy consumption in use (hosipufhri) or extend the product lifespan (iummfersqr) through design improvements and consumer education.</w:t>
      </w:r>
    </w:p>
    <w:p>
      <w:pPr>
        <w:pStyle w:val="FirstParagraph"/>
      </w:pPr>
      <w:r>
        <w:t xml:space="preserve">This report serves as a robust baseline for dryjdumoqh\'s ongoing sustainability efforts for mgfvmgedlm.</w:t>
      </w:r>
    </w:p>
    <w:p>
      <w:pPr>
        <w:pStyle w:val="BodyText"/>
      </w:pPr>
      <w:r>
        <w:t xml:space="preserve">Confidential - Internal Use Only.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dc:title>
  <dc:creator/>
  <dc:description>Detailed Product Carbon Footprint (PCF) analysis report for EcoGadget Pro, performed by hvhfzvpugo, specializing in GHG Protocol.</dc:description>
  <dc:language>en</dc:language>
  <cp:keywords/>
  <dcterms:created xsi:type="dcterms:W3CDTF">2026-07-15T05:15:50Z</dcterms:created>
  <dcterms:modified xsi:type="dcterms:W3CDTF">2026-07-15T05:15:50Z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