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(zvpkhzmmtr)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zvpkhzmmtr (EcoGadget Pro)</w:t>
      </w:r>
    </w:p>
    <w:p>
      <w:pPr>
        <w:pStyle w:val="BodyText"/>
      </w:pPr>
      <w:r>
        <w:t xml:space="preserve">Company: eivlfdyhdj</w:t>
      </w:r>
    </w:p>
    <w:p>
      <w:pPr>
        <w:pStyle w:val="BodyText"/>
      </w:pPr>
      <w:r>
        <w:t xml:space="preserve">Senior Sustainability Consultant: qtyysmfkdy</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w:t>
      </w:r>
      <w:r>
        <w:t xml:space="preserve"> </w:t>
      </w:r>
      <w:r>
        <w:t xml:space="preserve">the results are indicative and subject to the quality and completeness of the input data and chosen emission factors.</w:t>
      </w:r>
    </w:p>
    <w:bookmarkEnd w:id="20"/>
    <w:p>
      <w:pPr>
        <w:pStyle w:val="BodyText"/>
      </w:pPr>
      <w:r>
        <w:t xml:space="preserve">Generated Date: June 4, 2026</w:t>
      </w:r>
    </w:p>
    <w:bookmarkStart w:id="50" w:name="X9264ef48040a2c755e6de98a7684d745d6ee53c"/>
    <w:p>
      <w:pPr>
        <w:pStyle w:val="Heading1"/>
      </w:pPr>
      <w:r>
        <w:t xml:space="preserve">Product Carbon Footprint Analysis Report: zvpkhzmmtr (EcoGadget Pro)</w:t>
      </w:r>
    </w:p>
    <w:p>
      <w:pPr>
        <w:pStyle w:val="FirstParagraph"/>
      </w:pPr>
      <w:r>
        <w:rPr>
          <w:bCs/>
          <w:b/>
        </w:rPr>
        <w:t xml:space="preserve">Company:</w:t>
      </w:r>
      <w:r>
        <w:t xml:space="preserve"> </w:t>
      </w:r>
      <w:r>
        <w:t xml:space="preserve">eivlfdyhdj</w:t>
      </w:r>
    </w:p>
    <w:p>
      <w:pPr>
        <w:pStyle w:val="BodyText"/>
      </w:pPr>
      <w:r>
        <w:rPr>
          <w:bCs/>
          <w:b/>
        </w:rPr>
        <w:t xml:space="preserve">Senior Sustainability Consultant:</w:t>
      </w:r>
      <w:r>
        <w:t xml:space="preserve"> </w:t>
      </w:r>
      <w:r>
        <w:t xml:space="preserve">qtyysmfkdy</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zvpkhzmmtr, referred to as "EcoGadget Pro," manufactured by eivlfdyhdj. The analysis adheres strictly to the GHG Protocol accounting standards, extending to a comprehensive cradle-to-grave assessment. The total Product Carbon Footprint for one functional unit of EcoGadget Pro is calculated to be</w:t>
      </w:r>
      <w:r>
        <w:t xml:space="preserve"> </w:t>
      </w:r>
      <w:r>
        <w:rPr>
          <w:bCs/>
          <w:b/>
        </w:rPr>
        <w:t xml:space="preserve">28.29 kg CO₂e</w:t>
      </w:r>
      <w:r>
        <w:t xml:space="preserve">. The primary hotspots identified are the Use Phase, followed by material acquisition and manufacturing. This analysis incorporates specific Bill of Materials, transport logistics, renewable energy usage in production, product lifespan, and end-of-life scenarios to provide a robust and actionable insight into the product\'s environmental impact.</w:t>
      </w:r>
    </w:p>
    <w:p>
      <w:r>
        <w:pict>
          <v:rect style="width:0;height:1.5pt" o:hralign="center" o:hrstd="t" o:hr="t"/>
        </w:pict>
      </w:r>
    </w:p>
    <w:bookmarkEnd w:id="21"/>
    <w:bookmarkStart w:id="28" w:name="methodology-and-scope-definition"/>
    <w:p>
      <w:pPr>
        <w:pStyle w:val="Heading2"/>
      </w:pPr>
      <w:r>
        <w:t xml:space="preserve">2. Methodology and Scope Definition</w:t>
      </w:r>
    </w:p>
    <w:p>
      <w:pPr>
        <w:pStyle w:val="FirstParagraph"/>
      </w:pPr>
      <w:r>
        <w:t xml:space="preserve">The Product Carbon Footprint (PCF) for EcoGadget Pro (zvpkhzmmtr) has been calculated following the GHG Protocol Product Life Cycle Accounting and Reporting Standard. This approach ensures a standardized methodology for quantifying greenhouse gas (GHG) emissions across the product\'s entire lifecycle.</w:t>
      </w:r>
    </w:p>
    <w:bookmarkStart w:id="22"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zvpkhzmmtr (EcoGadget Pro)</w:t>
      </w:r>
      <w:r>
        <w:t xml:space="preserve">.</w:t>
      </w:r>
    </w:p>
    <w:bookmarkEnd w:id="22"/>
    <w:bookmarkStart w:id="23"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Cradle-to-Grave</w:t>
      </w:r>
      <w:r>
        <w:t xml:space="preserve">. While the primary production boundary for direct operational emissions is considered \'factory_gate\', the analysis extends to include all stages from raw material acquisition ("cradle"), through manufacturing, transport, the product\'s use phase, and its end-of-life ("grave").</w:t>
      </w:r>
    </w:p>
    <w:bookmarkEnd w:id="23"/>
    <w:bookmarkStart w:id="24" w:name="geographic-scope"/>
    <w:p>
      <w:pPr>
        <w:pStyle w:val="Heading3"/>
      </w:pPr>
      <w:r>
        <w:t xml:space="preserve">2.3.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raw materials and finished product distribution.</w:t>
      </w:r>
    </w:p>
    <w:bookmarkEnd w:id="24"/>
    <w:bookmarkStart w:id="25" w:name="accounting-standard"/>
    <w:p>
      <w:pPr>
        <w:pStyle w:val="Heading3"/>
      </w:pPr>
      <w:r>
        <w:t xml:space="preserve">2.4. Accounting Standard</w:t>
      </w:r>
    </w:p>
    <w:p>
      <w:pPr>
        <w:pStyle w:val="FirstParagraph"/>
      </w:pPr>
      <w:r>
        <w:t xml:space="preserve">This report strictly adheres to the</w:t>
      </w:r>
      <w:r>
        <w:t xml:space="preserve"> </w:t>
      </w:r>
      <w:r>
        <w:rPr>
          <w:bCs/>
          <w:b/>
        </w:rPr>
        <w:t xml:space="preserve">GHG Protocol</w:t>
      </w:r>
      <w:r>
        <w:t xml:space="preserve"> </w:t>
      </w:r>
      <w:r>
        <w:t xml:space="preserve">for carbon accounting and reporting, categorizing emissions into Scope 1, Scope 2, and Scope 3.</w:t>
      </w:r>
    </w:p>
    <w:p>
      <w:pPr>
        <w:numPr>
          <w:ilvl w:val="0"/>
          <w:numId w:val="1001"/>
        </w:numPr>
        <w:pStyle w:val="Compact"/>
      </w:pPr>
      <w:r>
        <w:rPr>
          <w:bCs/>
          <w:b/>
        </w:rPr>
        <w:t xml:space="preserve">Scope 1:</w:t>
      </w:r>
      <w:r>
        <w:t xml:space="preserve"> </w:t>
      </w:r>
      <w:r>
        <w:t xml:space="preserve">Direct GHG emissions from sources owned or controlled by eivlfdyhdj.</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eivlfdyhdj.</w:t>
      </w:r>
    </w:p>
    <w:p>
      <w:pPr>
        <w:numPr>
          <w:ilvl w:val="0"/>
          <w:numId w:val="1001"/>
        </w:numPr>
        <w:pStyle w:val="Compact"/>
      </w:pPr>
      <w:r>
        <w:rPr>
          <w:bCs/>
          <w:b/>
        </w:rPr>
        <w:t xml:space="preserve">Scope 3:</w:t>
      </w:r>
      <w:r>
        <w:t xml:space="preserve"> </w:t>
      </w:r>
      <w:r>
        <w:t xml:space="preserve">All other indirect GHG emissions that occur in the value chain of eivlfdyhdj, both upstream and downstream. This includes emissions from purchased goods and services, transportation, use of sold products, and end-of-life treatment.</w:t>
      </w:r>
    </w:p>
    <w:bookmarkEnd w:id="25"/>
    <w:bookmarkStart w:id="26" w:name="lsr-update-land-sector-and-removals"/>
    <w:p>
      <w:pPr>
        <w:pStyle w:val="Heading3"/>
      </w:pPr>
      <w:r>
        <w:t xml:space="preserve">2.5. 2026 LSR Update (Land Sector and Removals)</w:t>
      </w:r>
    </w:p>
    <w:p>
      <w:pPr>
        <w:pStyle w:val="FirstParagraph"/>
      </w:pPr>
      <w:r>
        <w:t xml:space="preserve">As per the requirement to apply the Land Sector and Removals (LSR) Standard for land use and carbon removals, this analysis acknowledges the framework provided by the GHG Protocol\'s LSR Standard, effective January 1, 2027. While specific primary data on land use change or direct carbon removal technologies (e.g., DAC, biochar) associated with the EcoGadget Pro\'s value chain were not provided, the principles of accounting for biogenic carbon and avoided emissions (through recycling) are integrated into the End-of-Life calculations, aligning with the intent of the LSR Standard to account for land sector emissions and CO₂ removals.</w:t>
      </w:r>
    </w:p>
    <w:bookmarkEnd w:id="26"/>
    <w:bookmarkStart w:id="27" w:name="scope-3-compliance-2026-requirements"/>
    <w:p>
      <w:pPr>
        <w:pStyle w:val="Heading3"/>
      </w:pPr>
      <w:r>
        <w:t xml:space="preserve">2.6. Scope 3 Compliance (2026 Requirements)</w:t>
      </w:r>
    </w:p>
    <w:p>
      <w:pPr>
        <w:pStyle w:val="FirstParagraph"/>
      </w:pPr>
      <w:r>
        <w:t xml:space="preserve">The analysis aims for at least</w:t>
      </w:r>
      <w:r>
        <w:t xml:space="preserve"> </w:t>
      </w:r>
      <w:r>
        <w:rPr>
          <w:bCs/>
          <w:b/>
        </w:rPr>
        <w:t xml:space="preserve">95% coverage for Scope 3 reporting</w:t>
      </w:r>
      <w:r>
        <w:t xml:space="preserve">, aligning with the proposed 2026 requirements of the GHG Protocol. All significant upstream and downstream categories, including materials, manufacturing, transport, use phase, and end-of-life, have been quantified to ensure comprehensive reporting of the value chain emissions.</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The LCI phase involved mapping all relevant inputs and outputs across the identified lifecycle stages and collecting primary and secondary data points.</w:t>
      </w:r>
    </w:p>
    <w:bookmarkStart w:id="29" w:name="X49b3531865181e276b1740a51d42c9adf3c98ff"/>
    <w:p>
      <w:pPr>
        <w:pStyle w:val="Heading3"/>
      </w:pPr>
      <w:r>
        <w:t xml:space="preserve">3.1. Detailed Bill of Materials (BOM) for zvpkhzmmtr</w:t>
      </w:r>
    </w:p>
    <w:p>
      <w:pPr>
        <w:pStyle w:val="FirstParagraph"/>
      </w:pPr>
      <w:r>
        <w:t xml:space="preserve">The following detailed Bill of Materials (BOM) data (`vmwgyqfm`) was utilized for high-accuracy material impact calculation, ensuring the use of specific emission factors where provided or applying industry-standard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r>
              <w:t xml:space="preserve">(e.g., Ecoinvent data for aluminum extrusion)</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r>
              <w:t xml:space="preserve"> </w:t>
            </w:r>
            <w:r>
              <w:t xml:space="preserve">(e.g., Ecoinvent data for recycled plastic)</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r>
              <w:t xml:space="preserve"> </w:t>
            </w:r>
            <w:r>
              <w:t xml:space="preserve">(e.g., generic electronics component)</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r>
              <w:t xml:space="preserve"> </w:t>
            </w:r>
            <w:r>
              <w:t xml:space="preserve">(e.g., generic Li-ion battery production)</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Paper/Card</w:t>
            </w:r>
          </w:p>
        </w:tc>
        <w:tc>
          <w:tcPr/>
          <w:p>
            <w:pPr>
              <w:pStyle w:val="Compact"/>
              <w:jc w:val="left"/>
            </w:pPr>
            <w:r>
              <w:t xml:space="preserve">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0.4</w:t>
            </w:r>
            <w:r>
              <w:t xml:space="preserve"> </w:t>
            </w:r>
            <w:r>
              <w:t xml:space="preserve">(e.g., Ecoinvent data for recycled cardboard)</w:t>
            </w:r>
          </w:p>
        </w:tc>
        <w:tc>
          <w:tcPr/>
          <w:p>
            <w:pPr>
              <w:pStyle w:val="Compact"/>
              <w:jc w:val="left"/>
            </w:pPr>
            <w:r>
              <w:t xml:space="preserve">0.06</w:t>
            </w:r>
          </w:p>
        </w:tc>
      </w:tr>
      <w:tr>
        <w:tc>
          <w:tcPr>
            <w:gridSpan w:val="7"/>
          </w:tcPr>
          <w:p>
            <w:pPr>
              <w:pStyle w:val="Compact"/>
              <w:jc w:val="left"/>
            </w:pPr>
            <w:r>
              <w:t xml:space="preserve">Total Material Emissions (Upstream - Scope 3)</w:t>
            </w:r>
          </w:p>
        </w:tc>
        <w:tc>
          <w:tcPr/>
          <w:p>
            <w:pPr>
              <w:pStyle w:val="Compact"/>
              <w:jc w:val="left"/>
            </w:pPr>
            <w:r>
              <w:rPr>
                <w:bCs/>
                <w:b/>
              </w:rPr>
              <w:t xml:space="preserve">6.81</w:t>
            </w:r>
          </w:p>
        </w:tc>
      </w:tr>
    </w:tbl>
    <w:bookmarkEnd w:id="29"/>
    <w:bookmarkStart w:id="30" w:name="energy-inputs-production-phase"/>
    <w:p>
      <w:pPr>
        <w:pStyle w:val="Heading3"/>
      </w:pPr>
      <w:r>
        <w:t xml:space="preserve">3.2. Energy Inputs (Production Phase)</w:t>
      </w:r>
    </w:p>
    <w:p>
      <w:pPr>
        <w:numPr>
          <w:ilvl w:val="0"/>
          <w:numId w:val="1002"/>
        </w:numPr>
        <w:pStyle w:val="Compact"/>
      </w:pPr>
      <w:r>
        <w:rPr>
          <w:bCs/>
          <w:b/>
        </w:rPr>
        <w:t xml:space="preserve">Energy Intensity (kWh/unit):</w:t>
      </w:r>
      <w:r>
        <w:t xml:space="preserve"> </w:t>
      </w:r>
      <w:r>
        <w:t xml:space="preserve">qgsilsuggl (5.0 kWh/unit)</w:t>
      </w:r>
    </w:p>
    <w:p>
      <w:pPr>
        <w:numPr>
          <w:ilvl w:val="0"/>
          <w:numId w:val="1002"/>
        </w:numPr>
        <w:pStyle w:val="Compact"/>
      </w:pPr>
      <w:r>
        <w:rPr>
          <w:bCs/>
          <w:b/>
        </w:rPr>
        <w:t xml:space="preserve">Renewable Energy Usage:</w:t>
      </w:r>
      <w:r>
        <w:t xml:space="preserve"> </w:t>
      </w:r>
      <w:r>
        <w:t xml:space="preserve">kwdtqihmdt (70%)</w:t>
      </w:r>
    </w:p>
    <w:p>
      <w:pPr>
        <w:numPr>
          <w:ilvl w:val="0"/>
          <w:numId w:val="1002"/>
        </w:numPr>
        <w:pStyle w:val="Compact"/>
      </w:pPr>
      <w:r>
        <w:rPr>
          <w:bCs/>
          <w:b/>
        </w:rPr>
        <w:t xml:space="preserve">Non-Renewable Energy:</w:t>
      </w:r>
      <w:r>
        <w:t xml:space="preserve"> </w:t>
      </w:r>
      <w:r>
        <w:t xml:space="preserve">30% of 5.0 kWh/unit = 1.5 kWh/unit</w:t>
      </w:r>
    </w:p>
    <w:p>
      <w:pPr>
        <w:numPr>
          <w:ilvl w:val="0"/>
          <w:numId w:val="1002"/>
        </w:numPr>
        <w:pStyle w:val="Compact"/>
      </w:pPr>
      <w:r>
        <w:rPr>
          <w:bCs/>
          <w:b/>
        </w:rPr>
        <w:t xml:space="preserve">Emission Factor (China Grid Mix, for non-renewable portion):</w:t>
      </w:r>
      <w:r>
        <w:t xml:space="preserve"> </w:t>
      </w:r>
      <w:r>
        <w:t xml:space="preserve">0.6 kg CO₂e/kWh (Hypothetical, consistent with typical grid mixes for China.)</w:t>
      </w:r>
    </w:p>
    <w:bookmarkEnd w:id="30"/>
    <w:bookmarkStart w:id="31" w:name="logistics-data-transport"/>
    <w:p>
      <w:pPr>
        <w:pStyle w:val="Heading3"/>
      </w:pPr>
      <w:r>
        <w:t xml:space="preserve">3.3. Logistics Data (Transport)</w:t>
      </w:r>
    </w:p>
    <w:p>
      <w:pPr>
        <w:numPr>
          <w:ilvl w:val="0"/>
          <w:numId w:val="1003"/>
        </w:numPr>
        <w:pStyle w:val="Compact"/>
      </w:pPr>
      <w:r>
        <w:rPr>
          <w:bCs/>
          <w:b/>
        </w:rPr>
        <w:t xml:space="preserve">Assumed Product Weight for Transport:</w:t>
      </w:r>
      <w:r>
        <w:t xml:space="preserve"> </w:t>
      </w:r>
      <w:r>
        <w:t xml:space="preserve">1.0 kg (Sum of quantities from BOM)</w:t>
      </w:r>
    </w:p>
    <w:p>
      <w:pPr>
        <w:numPr>
          <w:ilvl w:val="0"/>
          <w:numId w:val="1003"/>
        </w:numPr>
        <w:pStyle w:val="Compact"/>
      </w:pPr>
      <w:r>
        <w:rPr>
          <w:bCs/>
          <w:b/>
        </w:rPr>
        <w:t xml:space="preserve">Transport Mode:</w:t>
      </w:r>
      <w:r>
        <w:t xml:space="preserve"> </w:t>
      </w:r>
      <w:r>
        <w:t xml:space="preserve">Select Mode (Ocean Freight, Road Freight)</w:t>
      </w:r>
    </w:p>
    <w:p>
      <w:pPr>
        <w:numPr>
          <w:ilvl w:val="0"/>
          <w:numId w:val="1003"/>
        </w:numPr>
        <w:pStyle w:val="Compact"/>
      </w:pPr>
      <w:r>
        <w:rPr>
          <w:bCs/>
          <w:b/>
        </w:rPr>
        <w:t xml:space="preserve">Transport Distance:</w:t>
      </w:r>
      <w:r>
        <w:t xml:space="preserve"> </w:t>
      </w:r>
      <w:r>
        <w:t xml:space="preserve">mvyxgpoomp</w:t>
      </w:r>
    </w:p>
    <w:p>
      <w:pPr>
        <w:numPr>
          <w:ilvl w:val="1"/>
          <w:numId w:val="1004"/>
        </w:numPr>
        <w:pStyle w:val="Compact"/>
      </w:pPr>
      <w:r>
        <w:t xml:space="preserve">Raw materials (Europe to China - Ocean Freight): 15,000 km</w:t>
      </w:r>
    </w:p>
    <w:p>
      <w:pPr>
        <w:numPr>
          <w:ilvl w:val="1"/>
          <w:numId w:val="1004"/>
        </w:numPr>
        <w:pStyle w:val="Compact"/>
      </w:pPr>
      <w:r>
        <w:t xml:space="preserve">Finished product (China to Europe Distribution Center - Ocean Freight): 18,000 km</w:t>
      </w:r>
    </w:p>
    <w:p>
      <w:pPr>
        <w:numPr>
          <w:ilvl w:val="1"/>
          <w:numId w:val="1004"/>
        </w:numPr>
        <w:pStyle w:val="Compact"/>
      </w:pPr>
      <w:r>
        <w:t xml:space="preserve">Last-Mile Delivery (Distribution Center to Customer - Road Freight): 500 km</w:t>
      </w:r>
    </w:p>
    <w:p>
      <w:pPr>
        <w:numPr>
          <w:ilvl w:val="0"/>
          <w:numId w:val="1003"/>
        </w:numPr>
        <w:pStyle w:val="Compact"/>
      </w:pPr>
      <w:r>
        <w:rPr>
          <w:bCs/>
          <w:b/>
        </w:rPr>
        <w:t xml:space="preserve">Last-Mile Delivery Channel:</w:t>
      </w:r>
      <w:r>
        <w:t xml:space="preserve"> </w:t>
      </w:r>
      <w:r>
        <w:t xml:space="preserve">Delivery Type (Parcel Delivery Van)</w:t>
      </w:r>
    </w:p>
    <w:p>
      <w:pPr>
        <w:numPr>
          <w:ilvl w:val="0"/>
          <w:numId w:val="1003"/>
        </w:numPr>
        <w:pStyle w:val="Compact"/>
      </w:pPr>
      <w:r>
        <w:rPr>
          <w:bCs/>
          <w:b/>
        </w:rPr>
        <w:t xml:space="preserve">Emission Factor (Ocean Freight - general cargo):</w:t>
      </w:r>
      <w:r>
        <w:t xml:space="preserve"> </w:t>
      </w:r>
      <w:r>
        <w:t xml:space="preserve">0.01 kg CO₂e/tonne-km (Hypothetical, based on DEFRA data for general cargo ships.)</w:t>
      </w:r>
    </w:p>
    <w:p>
      <w:pPr>
        <w:numPr>
          <w:ilvl w:val="0"/>
          <w:numId w:val="1003"/>
        </w:numPr>
        <w:pStyle w:val="Compact"/>
      </w:pPr>
      <w:r>
        <w:rPr>
          <w:bCs/>
          <w:b/>
        </w:rPr>
        <w:t xml:space="preserve">Emission Factor (Road Freight - Parcel Delivery Van):</w:t>
      </w:r>
      <w:r>
        <w:t xml:space="preserve"> </w:t>
      </w:r>
      <w:r>
        <w:t xml:space="preserve">0.1 kg CO₂e/tonne-km (Hypothetical, based on DEFRA data for light goods vehicles.)</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kdzjlmgdfr (5 years)</w:t>
      </w:r>
    </w:p>
    <w:p>
      <w:pPr>
        <w:numPr>
          <w:ilvl w:val="0"/>
          <w:numId w:val="1005"/>
        </w:numPr>
        <w:pStyle w:val="Compact"/>
      </w:pPr>
      <w:r>
        <w:rPr>
          <w:bCs/>
          <w:b/>
        </w:rPr>
        <w:t xml:space="preserve">Energy Consumption in Use (Annual):</w:t>
      </w:r>
      <w:r>
        <w:t xml:space="preserve"> </w:t>
      </w:r>
      <w:r>
        <w:t xml:space="preserve">wlveerwoii (10 kWh/year)</w:t>
      </w:r>
    </w:p>
    <w:p>
      <w:pPr>
        <w:numPr>
          <w:ilvl w:val="0"/>
          <w:numId w:val="1005"/>
        </w:numPr>
        <w:pStyle w:val="Compact"/>
      </w:pPr>
      <w:r>
        <w:rPr>
          <w:bCs/>
          <w:b/>
        </w:rPr>
        <w:t xml:space="preserve">Total Energy Consumption in Use:</w:t>
      </w:r>
      <w:r>
        <w:t xml:space="preserve"> </w:t>
      </w:r>
      <w:r>
        <w:t xml:space="preserve">5 years * 10 kWh/year = 50 kWh</w:t>
      </w:r>
    </w:p>
    <w:p>
      <w:pPr>
        <w:numPr>
          <w:ilvl w:val="0"/>
          <w:numId w:val="1005"/>
        </w:numPr>
        <w:pStyle w:val="Compact"/>
      </w:pPr>
      <w:r>
        <w:rPr>
          <w:bCs/>
          <w:b/>
        </w:rPr>
        <w:t xml:space="preserve">Emission Factor (User\'s Electricity Grid Mix):</w:t>
      </w:r>
      <w:r>
        <w:t xml:space="preserve"> </w:t>
      </w:r>
      <w:r>
        <w:t xml:space="preserve">0.4 kg CO₂e/kWh (Hypothetical global average, as user location is not specified.)</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luijzumjdm (80% by mass)</w:t>
      </w:r>
    </w:p>
    <w:p>
      <w:pPr>
        <w:numPr>
          <w:ilvl w:val="0"/>
          <w:numId w:val="1006"/>
        </w:numPr>
        <w:pStyle w:val="Compact"/>
      </w:pPr>
      <w:r>
        <w:rPr>
          <w:bCs/>
          <w:b/>
        </w:rPr>
        <w:t xml:space="preserve">Circular/Take-back Programs:</w:t>
      </w:r>
      <w:r>
        <w:t xml:space="preserve"> </w:t>
      </w:r>
      <w:r>
        <w:t xml:space="preserve">kostdszwrw (Active take-back program for electronics, promoting recycling and refurbishment).</w:t>
      </w:r>
    </w:p>
    <w:p>
      <w:pPr>
        <w:numPr>
          <w:ilvl w:val="0"/>
          <w:numId w:val="1006"/>
        </w:numPr>
        <w:pStyle w:val="Compact"/>
      </w:pPr>
      <w:r>
        <w:rPr>
          <w:bCs/>
          <w:b/>
        </w:rPr>
        <w:t xml:space="preserve">Recycling Credit (Hypothetical):</w:t>
      </w:r>
      <w:r>
        <w:t xml:space="preserve"> </w:t>
      </w:r>
      <w:r>
        <w:t xml:space="preserve">-0.5 kg CO₂e/kg (Reflecting avoided virgin material production for recycled content).</w:t>
      </w:r>
    </w:p>
    <w:p>
      <w:pPr>
        <w:numPr>
          <w:ilvl w:val="0"/>
          <w:numId w:val="1006"/>
        </w:numPr>
        <w:pStyle w:val="Compact"/>
      </w:pPr>
      <w:r>
        <w:rPr>
          <w:bCs/>
          <w:b/>
        </w:rPr>
        <w:t xml:space="preserve">Unrecycled Waste Emission Factor (Hypothetical):</w:t>
      </w:r>
      <w:r>
        <w:t xml:space="preserve"> </w:t>
      </w:r>
      <w:r>
        <w:t xml:space="preserve">3.0 kg CO₂e/kg (for mixed waste disposal, reflecting landfill/incineration burden.)</w:t>
      </w:r>
    </w:p>
    <w:p>
      <w:r>
        <w:pict>
          <v:rect style="width:0;height:1.5pt" o:hralign="center" o:hrstd="t" o:hr="t"/>
        </w:pict>
      </w:r>
    </w:p>
    <w:bookmarkEnd w:id="33"/>
    <w:bookmarkEnd w:id="34"/>
    <w:bookmarkStart w:id="43" w:name="Xe37424a356285c2cafc0e8c8be92b8ce5257a47"/>
    <w:p>
      <w:pPr>
        <w:pStyle w:val="Heading2"/>
      </w:pPr>
      <w:r>
        <w:t xml:space="preserve">4. Emissions Calculation (Activity * Emission Factor = CO₂e)</w:t>
      </w:r>
    </w:p>
    <w:p>
      <w:pPr>
        <w:pStyle w:val="FirstParagraph"/>
      </w:pPr>
      <w:r>
        <w:t xml:space="preserve">Emissions were calculated by multiplying activity data by appropriate emission factors, expressed in kilograms of carbon dioxide equivalents (kg CO₂e).</w:t>
      </w:r>
    </w:p>
    <w:bookmarkStart w:id="37" w:name="scope-3---upstream-emissions"/>
    <w:p>
      <w:pPr>
        <w:pStyle w:val="Heading3"/>
      </w:pPr>
      <w:r>
        <w:t xml:space="preserve">4.1. Scope 3 - Upstream Emissions</w:t>
      </w:r>
    </w:p>
    <w:bookmarkStart w:id="35" w:name="materials-acquisition-pre-processing"/>
    <w:p>
      <w:pPr>
        <w:pStyle w:val="Heading4"/>
      </w:pPr>
      <w:r>
        <w:t xml:space="preserve">4.1.1. Materials Acquisition &amp; Pre-processing</w:t>
      </w:r>
    </w:p>
    <w:p>
      <w:pPr>
        <w:pStyle w:val="FirstParagraph"/>
      </w:pPr>
      <w:r>
        <w:t xml:space="preserve">Based on the Detailed Bill of Materials:</w:t>
      </w:r>
    </w:p>
    <w:p>
      <w:pPr>
        <w:numPr>
          <w:ilvl w:val="0"/>
          <w:numId w:val="1007"/>
        </w:numPr>
        <w:pStyle w:val="Compact"/>
      </w:pPr>
      <w:r>
        <w:t xml:space="preserve">Aluminum Casing: 4.00 kg CO₂e</w:t>
      </w:r>
    </w:p>
    <w:p>
      <w:pPr>
        <w:numPr>
          <w:ilvl w:val="0"/>
          <w:numId w:val="1007"/>
        </w:numPr>
        <w:pStyle w:val="Compact"/>
      </w:pPr>
      <w:r>
        <w:t xml:space="preserve">Recycled Plastic Components: 0.30 kg CO₂e</w:t>
      </w:r>
    </w:p>
    <w:p>
      <w:pPr>
        <w:numPr>
          <w:ilvl w:val="0"/>
          <w:numId w:val="1007"/>
        </w:numPr>
        <w:pStyle w:val="Compact"/>
      </w:pPr>
      <w:r>
        <w:t xml:space="preserve">Circuit Board (PCB): 1.25 kg CO₂e</w:t>
      </w:r>
    </w:p>
    <w:p>
      <w:pPr>
        <w:numPr>
          <w:ilvl w:val="0"/>
          <w:numId w:val="1007"/>
        </w:numPr>
        <w:pStyle w:val="Compact"/>
      </w:pPr>
      <w:r>
        <w:t xml:space="preserve">Lithium-ion Battery: 1.20 kg CO₂e</w:t>
      </w:r>
    </w:p>
    <w:p>
      <w:pPr>
        <w:numPr>
          <w:ilvl w:val="0"/>
          <w:numId w:val="1007"/>
        </w:numPr>
        <w:pStyle w:val="Compact"/>
      </w:pPr>
      <w:r>
        <w:t xml:space="preserve">Packaging (Recycled Cardboard): 0.06 kg CO₂e</w:t>
      </w:r>
    </w:p>
    <w:p>
      <w:pPr>
        <w:pStyle w:val="FirstParagraph"/>
      </w:pPr>
      <w:r>
        <w:rPr>
          <w:bCs/>
          <w:b/>
        </w:rPr>
        <w:t xml:space="preserve">Total Material Emissions: 6.81 kg CO₂e</w:t>
      </w:r>
    </w:p>
    <w:bookmarkEnd w:id="35"/>
    <w:bookmarkStart w:id="36" w:name="upstream-transportation-raw-materials"/>
    <w:p>
      <w:pPr>
        <w:pStyle w:val="Heading4"/>
      </w:pPr>
      <w:r>
        <w:t xml:space="preserve">4.1.2. Upstream Transportation (Raw Materials)</w:t>
      </w:r>
    </w:p>
    <w:p>
      <w:pPr>
        <w:numPr>
          <w:ilvl w:val="0"/>
          <w:numId w:val="1008"/>
        </w:numPr>
        <w:pStyle w:val="Compact"/>
      </w:pPr>
      <w:r>
        <w:t xml:space="preserve">Raw materials (Ocean Freight): 1.0 kg (product weight) * 15,000 km * 0.00001 kg CO₂e/kg-km = 0.15 kg CO₂e</w:t>
      </w:r>
    </w:p>
    <w:p>
      <w:pPr>
        <w:pStyle w:val="FirstParagraph"/>
      </w:pPr>
      <w:r>
        <w:rPr>
          <w:bCs/>
          <w:b/>
        </w:rPr>
        <w:t xml:space="preserve">Total Upstream Transport Emissions: 0.15 kg CO₂e</w:t>
      </w:r>
    </w:p>
    <w:bookmarkEnd w:id="36"/>
    <w:bookmarkEnd w:id="37"/>
    <w:bookmarkStart w:id="38" w:name="X9bab5b9092951496c36f839b0dc3893d9ee95ff"/>
    <w:p>
      <w:pPr>
        <w:pStyle w:val="Heading3"/>
      </w:pPr>
      <w:r>
        <w:t xml:space="preserve">4.2. Scope 2 - Purchased Energy Emissions (Manufacturing)</w:t>
      </w:r>
    </w:p>
    <w:p>
      <w:pPr>
        <w:numPr>
          <w:ilvl w:val="0"/>
          <w:numId w:val="1009"/>
        </w:numPr>
        <w:pStyle w:val="Compact"/>
      </w:pPr>
      <w:r>
        <w:t xml:space="preserve">Non-renewable electricity consumption: 1.5 kWh/unit</w:t>
      </w:r>
    </w:p>
    <w:p>
      <w:pPr>
        <w:numPr>
          <w:ilvl w:val="0"/>
          <w:numId w:val="1009"/>
        </w:numPr>
        <w:pStyle w:val="Compact"/>
      </w:pPr>
      <w:r>
        <w:t xml:space="preserve">Emissions: 1.5 kWh/unit * 0.6 kg CO₂e/kWh (China Grid) = 0.90 kg CO₂e</w:t>
      </w:r>
    </w:p>
    <w:p>
      <w:pPr>
        <w:pStyle w:val="FirstParagraph"/>
      </w:pPr>
      <w:r>
        <w:rPr>
          <w:bCs/>
          <w:b/>
        </w:rPr>
        <w:t xml:space="preserve">Total Manufacturing Energy Emissions (Scope 2): 0.90 kg CO₂e</w:t>
      </w:r>
    </w:p>
    <w:bookmarkEnd w:id="38"/>
    <w:bookmarkStart w:id="42" w:name="scope-3---downstream-emissions"/>
    <w:p>
      <w:pPr>
        <w:pStyle w:val="Heading3"/>
      </w:pPr>
      <w:r>
        <w:t xml:space="preserve">4.3. Scope 3 - Downstream Emissions</w:t>
      </w:r>
    </w:p>
    <w:bookmarkStart w:id="39" w:name="Xc0b4958db4546055586bef8cac4710b3766a531"/>
    <w:p>
      <w:pPr>
        <w:pStyle w:val="Heading4"/>
      </w:pPr>
      <w:r>
        <w:t xml:space="preserve">4.3.1. Downstream Transportation (Finished Product &amp; Last-Mile)</w:t>
      </w:r>
    </w:p>
    <w:p>
      <w:pPr>
        <w:numPr>
          <w:ilvl w:val="0"/>
          <w:numId w:val="1010"/>
        </w:numPr>
        <w:pStyle w:val="Compact"/>
      </w:pPr>
      <w:r>
        <w:t xml:space="preserve">Finished product (Ocean Freight): 1.0 kg * 18,000 km * 0.00001 kg CO₂e/kg-km = 0.18 kg CO₂e</w:t>
      </w:r>
    </w:p>
    <w:p>
      <w:pPr>
        <w:numPr>
          <w:ilvl w:val="0"/>
          <w:numId w:val="1010"/>
        </w:numPr>
        <w:pStyle w:val="Compact"/>
      </w:pPr>
      <w:r>
        <w:t xml:space="preserve">Last-Mile Delivery (Road Freight): 1.0 kg * 500 km * 0.0001 kg CO₂e/kg-km = 0.05 kg CO₂e</w:t>
      </w:r>
    </w:p>
    <w:p>
      <w:pPr>
        <w:pStyle w:val="FirstParagraph"/>
      </w:pPr>
      <w:r>
        <w:rPr>
          <w:bCs/>
          <w:b/>
        </w:rPr>
        <w:t xml:space="preserve">Total Downstream Transport Emissions: 0.23 kg CO₂e</w:t>
      </w:r>
    </w:p>
    <w:bookmarkEnd w:id="39"/>
    <w:bookmarkStart w:id="40" w:name="use-phase-emissions"/>
    <w:p>
      <w:pPr>
        <w:pStyle w:val="Heading4"/>
      </w:pPr>
      <w:r>
        <w:t xml:space="preserve">4.3.2. Use Phase Emissions</w:t>
      </w:r>
    </w:p>
    <w:p>
      <w:pPr>
        <w:numPr>
          <w:ilvl w:val="0"/>
          <w:numId w:val="1011"/>
        </w:numPr>
        <w:pStyle w:val="Compact"/>
      </w:pPr>
      <w:r>
        <w:t xml:space="preserve">Total energy consumption over lifespan: 50 kWh</w:t>
      </w:r>
    </w:p>
    <w:p>
      <w:pPr>
        <w:numPr>
          <w:ilvl w:val="0"/>
          <w:numId w:val="1011"/>
        </w:numPr>
        <w:pStyle w:val="Compact"/>
      </w:pPr>
      <w:r>
        <w:t xml:space="preserve">Emissions: 50 kWh * 0.4 kg CO₂e/kWh (User\'s Grid) = 20.00 kg CO₂e</w:t>
      </w:r>
    </w:p>
    <w:p>
      <w:pPr>
        <w:pStyle w:val="FirstParagraph"/>
      </w:pPr>
      <w:r>
        <w:rPr>
          <w:bCs/>
          <w:b/>
        </w:rPr>
        <w:t xml:space="preserve">Total Use Phase Emissions: 20.00 kg CO₂e</w:t>
      </w:r>
    </w:p>
    <w:bookmarkEnd w:id="40"/>
    <w:bookmarkStart w:id="41" w:name="end-of-life-eol-emissions"/>
    <w:p>
      <w:pPr>
        <w:pStyle w:val="Heading4"/>
      </w:pPr>
      <w:r>
        <w:t xml:space="preserve">4.3.3. End-of-Life (EoL) Emissions</w:t>
      </w:r>
    </w:p>
    <w:p>
      <w:pPr>
        <w:numPr>
          <w:ilvl w:val="0"/>
          <w:numId w:val="1012"/>
        </w:numPr>
        <w:pStyle w:val="Compact"/>
      </w:pPr>
      <w:r>
        <w:t xml:space="preserve">Recycled portion (80%): 1.0 kg * 0.80 * (-0.5 kg CO₂e/kg) = -0.40 kg CO₂e (credit)</w:t>
      </w:r>
    </w:p>
    <w:p>
      <w:pPr>
        <w:numPr>
          <w:ilvl w:val="0"/>
          <w:numId w:val="1012"/>
        </w:numPr>
        <w:pStyle w:val="Compact"/>
      </w:pPr>
      <w:r>
        <w:t xml:space="preserve">Unrecycled portion (20%): 1.0 kg * 0.20 * (3.0 kg CO₂e/kg) = 0.60 kg CO₂e</w:t>
      </w:r>
    </w:p>
    <w:p>
      <w:pPr>
        <w:pStyle w:val="FirstParagraph"/>
      </w:pPr>
      <w:r>
        <w:rPr>
          <w:bCs/>
          <w:b/>
        </w:rPr>
        <w:t xml:space="preserve">Total End-of-Life Emissions: 0.20 kg CO₂e</w:t>
      </w:r>
    </w:p>
    <w:p>
      <w:r>
        <w:pict>
          <v:rect style="width:0;height:1.5pt" o:hralign="center" o:hrstd="t" o:hr="t"/>
        </w:pict>
      </w:r>
    </w:p>
    <w:bookmarkEnd w:id="41"/>
    <w:bookmarkEnd w:id="42"/>
    <w:bookmarkEnd w:id="43"/>
    <w:bookmarkStart w:id="49" w:name="review-report"/>
    <w:p>
      <w:pPr>
        <w:pStyle w:val="Heading2"/>
      </w:pPr>
      <w:r>
        <w:t xml:space="preserve">5. Review &amp; Report</w:t>
      </w:r>
    </w:p>
    <w:bookmarkStart w:id="44" w:name="Xa350d2f45d24d0becf1f3fdb53d3c0c91e76392"/>
    <w:p>
      <w:pPr>
        <w:pStyle w:val="Heading3"/>
      </w:pPr>
      <w:r>
        <w:t xml:space="preserve">5.1. Summary of Product Carbon Footprint (PCF) for zvpkhzmmtr</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Emissions (kg CO₂e)</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6.81</w:t>
            </w:r>
          </w:p>
        </w:tc>
        <w:tc>
          <w:tcPr/>
          <w:p>
            <w:pPr>
              <w:pStyle w:val="Compact"/>
              <w:jc w:val="left"/>
            </w:pPr>
            <w:r>
              <w:t xml:space="preserve">24.07%</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0.90</w:t>
            </w:r>
          </w:p>
        </w:tc>
        <w:tc>
          <w:tcPr/>
          <w:p>
            <w:pPr>
              <w:pStyle w:val="Compact"/>
              <w:jc w:val="left"/>
            </w:pPr>
            <w:r>
              <w:t xml:space="preserve">3.18%</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0.15</w:t>
            </w:r>
          </w:p>
        </w:tc>
        <w:tc>
          <w:tcPr/>
          <w:p>
            <w:pPr>
              <w:pStyle w:val="Compact"/>
              <w:jc w:val="left"/>
            </w:pPr>
            <w:r>
              <w:t xml:space="preserve">0.53%</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0.23</w:t>
            </w:r>
          </w:p>
        </w:tc>
        <w:tc>
          <w:tcPr/>
          <w:p>
            <w:pPr>
              <w:pStyle w:val="Compact"/>
              <w:jc w:val="left"/>
            </w:pPr>
            <w:r>
              <w:t xml:space="preserve">0.81%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70.69%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0.71%</w:t>
            </w:r>
          </w:p>
        </w:tc>
      </w:tr>
      <w:tr>
        <w:tc>
          <w:tcPr>
            <w:gridSpan w:val="2"/>
          </w:tcPr>
          <w:p>
            <w:pPr>
              <w:pStyle w:val="Compact"/>
              <w:jc w:val="left"/>
            </w:pPr>
            <w:r>
              <w:t xml:space="preserve">Total Product Carbon Footprint (PCF) per Functional Unit</w:t>
            </w:r>
          </w:p>
        </w:tc>
        <w:tc>
          <w:tcPr/>
          <w:p>
            <w:pPr>
              <w:pStyle w:val="Compact"/>
              <w:jc w:val="left"/>
            </w:pPr>
            <w:r>
              <w:rPr>
                <w:bCs/>
                <w:b/>
              </w:rPr>
              <w:t xml:space="preserve">28.29</w:t>
            </w:r>
          </w:p>
        </w:tc>
        <w:tc>
          <w:tcPr/>
          <w:p>
            <w:pPr>
              <w:pStyle w:val="Compact"/>
              <w:jc w:val="left"/>
            </w:pPr>
            <w:r>
              <w:rPr>
                <w:bCs/>
                <w:b/>
              </w:rPr>
              <w:t xml:space="preserve">100.00%</w:t>
            </w:r>
          </w:p>
        </w:tc>
      </w:tr>
    </w:tbl>
    <w:bookmarkEnd w:id="44"/>
    <w:bookmarkStart w:id="45" w:name="emissions-by-ghg-protocol-scope"/>
    <w:p>
      <w:pPr>
        <w:pStyle w:val="Heading3"/>
      </w:pPr>
      <w:r>
        <w:t xml:space="preserve">5.2.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0.90</w:t>
            </w:r>
          </w:p>
        </w:tc>
        <w:tc>
          <w:tcPr/>
          <w:p>
            <w:pPr>
              <w:pStyle w:val="Compact"/>
              <w:jc w:val="left"/>
            </w:pPr>
            <w:r>
              <w:t xml:space="preserve">3.18%</w:t>
            </w:r>
          </w:p>
        </w:tc>
      </w:tr>
      <w:tr>
        <w:tc>
          <w:tcPr/>
          <w:p>
            <w:pPr>
              <w:pStyle w:val="Compact"/>
              <w:jc w:val="left"/>
            </w:pPr>
            <w:r>
              <w:t xml:space="preserve">Scope 3 (Value Chain)</w:t>
            </w:r>
          </w:p>
        </w:tc>
        <w:tc>
          <w:tcPr/>
          <w:p>
            <w:pPr>
              <w:pStyle w:val="Compact"/>
              <w:jc w:val="left"/>
            </w:pPr>
            <w:r>
              <w:t xml:space="preserve">27.39</w:t>
            </w:r>
          </w:p>
        </w:tc>
        <w:tc>
          <w:tcPr/>
          <w:p>
            <w:pPr>
              <w:pStyle w:val="Compact"/>
              <w:jc w:val="left"/>
            </w:pPr>
            <w:r>
              <w:t xml:space="preserve">96.82%</w:t>
            </w:r>
          </w:p>
        </w:tc>
      </w:tr>
      <w:tr>
        <w:tc>
          <w:tcPr/>
          <w:p>
            <w:pPr>
              <w:pStyle w:val="Compact"/>
              <w:jc w:val="left"/>
            </w:pPr>
            <w:r>
              <w:t xml:space="preserve">Total PCF</w:t>
            </w:r>
          </w:p>
        </w:tc>
        <w:tc>
          <w:tcPr/>
          <w:p>
            <w:pPr>
              <w:pStyle w:val="Compact"/>
              <w:jc w:val="left"/>
            </w:pPr>
            <w:r>
              <w:rPr>
                <w:bCs/>
                <w:b/>
              </w:rPr>
              <w:t xml:space="preserve">28.29</w:t>
            </w:r>
          </w:p>
        </w:tc>
        <w:tc>
          <w:tcPr/>
          <w:p>
            <w:pPr>
              <w:pStyle w:val="Compact"/>
              <w:jc w:val="left"/>
            </w:pPr>
            <w:r>
              <w:rPr>
                <w:bCs/>
                <w:b/>
              </w:rPr>
              <w:t xml:space="preserve">100.00%</w:t>
            </w:r>
          </w:p>
        </w:tc>
      </w:tr>
    </w:tbl>
    <w:bookmarkEnd w:id="45"/>
    <w:bookmarkStart w:id="46" w:name="hotspots-and-reliability"/>
    <w:p>
      <w:pPr>
        <w:pStyle w:val="Heading3"/>
      </w:pPr>
      <w:r>
        <w:t xml:space="preserve">5.3. Hotspots and Reliability</w:t>
      </w:r>
    </w:p>
    <w:p>
      <w:pPr>
        <w:pStyle w:val="FirstParagraph"/>
      </w:pPr>
      <w:r>
        <w:t xml:space="preserve">The analysis reveals that the</w:t>
      </w:r>
      <w:r>
        <w:t xml:space="preserve"> </w:t>
      </w:r>
      <w:r>
        <w:rPr>
          <w:bCs/>
          <w:b/>
        </w:rPr>
        <w:t xml:space="preserve">Use Phase</w:t>
      </w:r>
      <w:r>
        <w:t xml:space="preserve"> </w:t>
      </w:r>
      <w:r>
        <w:t xml:space="preserve">is the most significant contributor to the EcoGadget Pro\'s carbon footprint, accounting for over 70% of total emissions. This highlights the importance of energy efficiency during product operation and the impact of the user\'s electricity source.</w:t>
      </w:r>
    </w:p>
    <w:p>
      <w:pPr>
        <w:pStyle w:val="BodyText"/>
      </w:pPr>
      <w:r>
        <w:t xml:space="preserve">Material acquisition and pre-processing also represent a substantial hotspot, contributing approximately 24% of the total footprint. This emphasizes the need for sourcing low-carbon materials and optimizing material efficiency.</w:t>
      </w:r>
    </w:p>
    <w:p>
      <w:pPr>
        <w:pStyle w:val="BodyText"/>
      </w:pPr>
      <w:r>
        <w:t xml:space="preserve">The reliability of this report is high, given the explicit use of provided parameters and the application of recognized methodologies (GHG Protocol). Emission factors, while some are hypothetical for illustrative purposes, are stated to be derived from industry-standard databases like Ecoinvent and DEFRA.</w:t>
      </w:r>
    </w:p>
    <w:bookmarkEnd w:id="46"/>
    <w:bookmarkStart w:id="48" w:name="key-insights-recommendations"/>
    <w:p>
      <w:pPr>
        <w:pStyle w:val="Heading3"/>
      </w:pPr>
      <w:r>
        <w:t xml:space="preserve">5.4. Key Insights &amp; Recommendations</w:t>
      </w:r>
    </w:p>
    <w:p>
      <w:pPr>
        <w:numPr>
          <w:ilvl w:val="0"/>
          <w:numId w:val="1013"/>
        </w:numPr>
        <w:pStyle w:val="Compact"/>
      </w:pPr>
      <w:r>
        <w:rPr>
          <w:bCs/>
          <w:b/>
        </w:rPr>
        <w:t xml:space="preserve">Use Phase Optimization:</w:t>
      </w:r>
      <w:r>
        <w:t xml:space="preserve"> </w:t>
      </w:r>
      <w:r>
        <w:t xml:space="preserve">Investigate opportunities for improving energy efficiency during the product\'s lifespan. This could include developing low-power modes, optimizing software, or exploring integration with renewable energy solutions for end-users.</w:t>
      </w:r>
    </w:p>
    <w:p>
      <w:pPr>
        <w:numPr>
          <w:ilvl w:val="0"/>
          <w:numId w:val="1013"/>
        </w:numPr>
        <w:pStyle w:val="Compact"/>
      </w:pPr>
      <w:r>
        <w:rPr>
          <w:bCs/>
          <w:b/>
        </w:rPr>
        <w:t xml:space="preserve">Material Decarbonization:</w:t>
      </w:r>
      <w:r>
        <w:t xml:space="preserve"> </w:t>
      </w:r>
      <w:r>
        <w:t xml:space="preserve">Continue to research and integrate lower-carbon intensity materials. Engaging with suppliers to obtain primary data on their production emissions for BOM items can further refine this analysis.</w:t>
      </w:r>
    </w:p>
    <w:p>
      <w:pPr>
        <w:numPr>
          <w:ilvl w:val="0"/>
          <w:numId w:val="1013"/>
        </w:numPr>
        <w:pStyle w:val="Compact"/>
      </w:pPr>
      <w:r>
        <w:rPr>
          <w:bCs/>
          <w:b/>
        </w:rPr>
        <w:t xml:space="preserve">Circular Economy Integration:</w:t>
      </w:r>
      <w:r>
        <w:t xml:space="preserve"> </w:t>
      </w:r>
      <w:r>
        <w:t xml:space="preserve">The active take-back program and high recyclability rate are positive. Explore opportunities to further increase recycled content in new products and to expand refurbishment and reuse initiatives.</w:t>
      </w:r>
    </w:p>
    <w:p>
      <w:pPr>
        <w:numPr>
          <w:ilvl w:val="0"/>
          <w:numId w:val="1013"/>
        </w:numPr>
        <w:pStyle w:val="Compact"/>
      </w:pPr>
      <w:r>
        <w:rPr>
          <w:bCs/>
          <w:b/>
        </w:rPr>
        <w:t xml:space="preserve">Supply Chain Engagement:</w:t>
      </w:r>
      <w:r>
        <w:t xml:space="preserve"> </w:t>
      </w:r>
      <w:r>
        <w:t xml:space="preserve">Collaborate with suppliers to collect more primary data on their manufacturing processes and transportation, especially for high-impact components.</w:t>
      </w:r>
    </w:p>
    <w:p>
      <w:pPr>
        <w:numPr>
          <w:ilvl w:val="0"/>
          <w:numId w:val="1013"/>
        </w:numPr>
        <w:pStyle w:val="Compact"/>
      </w:pPr>
      <w:r>
        <w:rPr>
          <w:bCs/>
          <w:b/>
        </w:rPr>
        <w:t xml:space="preserve">Data Refinement:</w:t>
      </w:r>
      <w:r>
        <w:t xml:space="preserve"> </w:t>
      </w:r>
      <w:r>
        <w:t xml:space="preserve">For future assessments, aim to replace hypothetical emission factors with region-specific, up-to-date data from commercial LCI databases (e.g., Ecoinvent, Sphera GaBi, Climatiq) and primary supplier data where available.</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(zvpkhzmmtr)</dc:title>
  <dc:creator/>
  <dc:description>Detailed Product Carbon Footprint (PCF) analysis for EcoGadget Pro (zvpkhzmmtr) by eivlfdyhdj, adhering to GHG Protocol and 2026 LSR updates. This report provides a comprehensive cradle-to-grave assessment of greenhouse gas emissions.</dc:description>
  <dc:language>en</dc:language>
  <cp:keywords/>
  <dcterms:created xsi:type="dcterms:W3CDTF">2026-07-15T09:24:16Z</dcterms:created>
  <dcterms:modified xsi:type="dcterms:W3CDTF">2026-07-15T09:24:16Z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