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(zkmxmxrmmm)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EcoGadget Pro (zkmxmxrmmm)</w:t>
      </w:r>
    </w:p>
    <w:p>
      <w:pPr>
        <w:pStyle w:val="BodyText"/>
      </w:pPr>
      <w:r>
        <w:rPr>
          <w:bCs/>
          <w:b/>
        </w:rPr>
        <w:t xml:space="preserve">Company Name:</w:t>
      </w:r>
      <w:r>
        <w:t xml:space="preserve"> </w:t>
      </w:r>
      <w:r>
        <w:t xml:space="preserve">jtyylnwxyr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tmpjgkwngt</w:t>
      </w:r>
    </w:p>
    <w:p>
      <w:pPr>
        <w:pStyle w:val="BodyText"/>
      </w:pPr>
      <w:r>
        <w:t xml:space="preserve">This report is generated based on available data and industry standards. While efforts have been made to ensure accuracy, the results are indicative and may require further primary data collection for enhanced precision.</w:t>
      </w:r>
    </w:p>
    <w:bookmarkEnd w:id="20"/>
    <w:bookmarkStart w:id="21" w:name="X8f005325575e6a327eaa603014c71c63a8f9f4e"/>
    <w:p>
      <w:pPr>
        <w:pStyle w:val="Heading1"/>
      </w:pPr>
      <w:r>
        <w:t xml:space="preserve">Product Carbon Footprint Analysis for EcoGadget Pro (zkmxmxrmmm)</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jtyylnwxyr</w:t>
      </w:r>
    </w:p>
    <w:p>
      <w:pPr>
        <w:pStyle w:val="BodyText"/>
      </w:pPr>
      <w:r>
        <w:rPr>
          <w:bCs/>
          <w:b/>
        </w:rPr>
        <w:t xml:space="preserve">Consultant:</w:t>
      </w:r>
      <w:r>
        <w:t xml:space="preserve"> </w:t>
      </w:r>
      <w:r>
        <w:t xml:space="preserve">tmpjgkwngt,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"EcoGadget Pro" (zkmxmxrmmm), manufactured by jtyylnwxyr. The analysis adheres to the GHG Protocol accounting standard, incorporating the 2026 Land Sector and Removals (LSR) update and ensuring robust Scope 3 compliance. The total cradle-to-grave carbon footprint for one functional unit of EcoGadget Pro is calculated to be approximately 29.80 kg CO2e. Key hotspots identified include the product\'s use phase due to energy consumption and the manufacturing process. Recommendations for emission reduction are provided, focusing on renewable energy adoption, material efficiency, and end-of-life management.</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This section defines the parameters and boundaries for the Product Carbon Footprint (PCF) analysis of the EcoGadget Pro (zkmxmxrmmm).</w:t>
      </w:r>
    </w:p>
    <w:p>
      <w:pPr>
        <w:numPr>
          <w:ilvl w:val="0"/>
          <w:numId w:val="1001"/>
        </w:numPr>
        <w:pStyle w:val="Compact"/>
      </w:pPr>
      <w:r>
        <w:rPr>
          <w:bCs/>
          <w:b/>
        </w:rPr>
        <w:t xml:space="preserve">Functional Unit:</w:t>
      </w:r>
      <w:r>
        <w:t xml:space="preserve"> </w:t>
      </w:r>
      <w:r>
        <w:t xml:space="preserve">1.0 unit of EcoGadget Pro.</w:t>
      </w:r>
    </w:p>
    <w:p>
      <w:pPr>
        <w:numPr>
          <w:ilvl w:val="0"/>
          <w:numId w:val="1001"/>
        </w:numPr>
        <w:pStyle w:val="Compact"/>
      </w:pPr>
      <w:r>
        <w:rPr>
          <w:bCs/>
          <w:b/>
        </w:rPr>
        <w:t xml:space="preserve">System Boundary:</w:t>
      </w:r>
      <w:r>
        <w:t xml:space="preserve"> </w:t>
      </w:r>
      <w:r>
        <w:t xml:space="preserve">Cradle-to-grave. While the primary reporting boundary for direct company operations is considered \'factory_gate\', the analysis extends to cover raw material extraction, manufacturing, transportation, the product\'s use phase, and its end-of-life treatment, as per the detailed parameters provided. Emissions are categorized according to GHG Protocol Scopes 1, 2, and 3.</w:t>
      </w:r>
    </w:p>
    <w:p>
      <w:pPr>
        <w:numPr>
          <w:ilvl w:val="0"/>
          <w:numId w:val="1001"/>
        </w:numPr>
        <w:pStyle w:val="Compact"/>
      </w:pPr>
      <w:r>
        <w:rPr>
          <w:bCs/>
          <w:b/>
        </w:rPr>
        <w:t xml:space="preserve">Geographic Scope:</w:t>
      </w:r>
      <w:r>
        <w:t xml:space="preserve"> </w:t>
      </w:r>
      <w:r>
        <w:t xml:space="preserve">Final production in China, with a supply chain focus on Europe for raw material sourcing and global distribution for the final product.</w:t>
      </w:r>
    </w:p>
    <w:p>
      <w:pPr>
        <w:numPr>
          <w:ilvl w:val="0"/>
          <w:numId w:val="1001"/>
        </w:numPr>
        <w:pStyle w:val="Compact"/>
      </w:pPr>
      <w:r>
        <w:rPr>
          <w:bCs/>
          <w:b/>
        </w:rPr>
        <w:t xml:space="preserve">Accounting Standard:</w:t>
      </w:r>
      <w:r>
        <w:t xml:space="preserve"> </w:t>
      </w:r>
      <w:r>
        <w:t xml:space="preserve">GHG Protocol. This report strictly follows the Greenhouse Gas Protocol Corporate Standard, applying its principles for relevance, completeness, consistency, transparency, and accuracy. Special consideration is given to the 2026 Land Sector and Removals (LSR) Standard for land use and carbon removals, and achieving at least 95% coverage for Scope 3 reporting as per 2026 requirements.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w:t>
      </w:r>
    </w:p>
    <w:bookmarkEnd w:id="23"/>
    <w:p>
      <w:r>
        <w:pict>
          <v:rect style="width:0;height:1.5pt" o:hralign="center" o:hrstd="t" o:hr="t"/>
        </w:pict>
      </w:r>
    </w:p>
    <w:bookmarkStart w:id="25" w:name="lifecycle-mapping-lci-inventory-stages"/>
    <w:p>
      <w:pPr>
        <w:pStyle w:val="Heading2"/>
      </w:pPr>
      <w:r>
        <w:t xml:space="preserve">2. Lifecycle Mapping (LCI Inventory Stages)</w:t>
      </w:r>
    </w:p>
    <w:p>
      <w:pPr>
        <w:pStyle w:val="FirstParagraph"/>
      </w:pPr>
      <w:r>
        <w:t xml:space="preserve">The lifecycle of the EcoGadget Pro (zkmxmxrmmm) has been mapped into the following stages, in line with a cradle-to-grave approach:</w:t>
      </w:r>
    </w:p>
    <w:p>
      <w:pPr>
        <w:numPr>
          <w:ilvl w:val="0"/>
          <w:numId w:val="1002"/>
        </w:numPr>
        <w:pStyle w:val="Compact"/>
      </w:pPr>
      <w:r>
        <w:rPr>
          <w:bCs/>
          <w:b/>
        </w:rPr>
        <w:t xml:space="preserve">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of the EcoGadget Pro at the jtyylnwxyr facility in China.</w:t>
      </w:r>
    </w:p>
    <w:p>
      <w:pPr>
        <w:numPr>
          <w:ilvl w:val="0"/>
          <w:numId w:val="1002"/>
        </w:numPr>
        <w:pStyle w:val="Compact"/>
      </w:pPr>
      <w:r>
        <w:rPr>
          <w:bCs/>
          <w:b/>
        </w:rPr>
        <w:t xml:space="preserve">Distribution &amp; Transport:</w:t>
      </w:r>
      <w:r>
        <w:t xml:space="preserve"> </w:t>
      </w:r>
      <w:r>
        <w:t xml:space="preserve">Transportation of finished products from the factory gate to the customer.</w:t>
      </w:r>
    </w:p>
    <w:p>
      <w:pPr>
        <w:numPr>
          <w:ilvl w:val="0"/>
          <w:numId w:val="1002"/>
        </w:numPr>
        <w:pStyle w:val="Compact"/>
      </w:pPr>
      <w:r>
        <w:rPr>
          <w:bCs/>
          <w:b/>
        </w:rPr>
        <w:t xml:space="preserve">Use Phase:</w:t>
      </w:r>
      <w:r>
        <w:t xml:space="preserve"> </w:t>
      </w:r>
      <w:r>
        <w:t xml:space="preserve">Energy consumption during the product\'s operational lifetime by the end-user.</w:t>
      </w:r>
    </w:p>
    <w:p>
      <w:pPr>
        <w:numPr>
          <w:ilvl w:val="0"/>
          <w:numId w:val="1002"/>
        </w:numPr>
        <w:pStyle w:val="Compact"/>
      </w:pPr>
      <w:r>
        <w:rPr>
          <w:bCs/>
          <w:b/>
        </w:rPr>
        <w:t xml:space="preserve">End-of-Life (EoL):</w:t>
      </w:r>
      <w:r>
        <w:t xml:space="preserve"> </w:t>
      </w:r>
      <w:r>
        <w:t xml:space="preserve">Disposal and recycling processes at the end of the product\'s lifespan.</w:t>
      </w:r>
    </w:p>
    <w:bookmarkStart w:id="24" w:name="detailed-bill-of-materials-bom-breakdown"/>
    <w:p>
      <w:pPr>
        <w:pStyle w:val="Heading3"/>
      </w:pPr>
      <w:r>
        <w:t xml:space="preserve">Detailed Bill of Materials (BOM) Breakdown</w:t>
      </w:r>
    </w:p>
    <w:p>
      <w:pPr>
        <w:pStyle w:val="FirstParagraph"/>
      </w:pPr>
      <w:r>
        <w:t xml:space="preserve">The following table details the materials used in the EcoGadget Pro, along with their associated carbon emissions per unit, as provided by jtyylnwxyr (iuiuvfwm).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w:t>
            </w:r>
          </w:p>
        </w:tc>
      </w:tr>
    </w:tbl>
    <w:bookmarkEnd w:id="24"/>
    <w:bookmarkEnd w:id="25"/>
    <w:p>
      <w:r>
        <w:pict>
          <v:rect style="width:0;height:1.5pt" o:hralign="center" o:hrstd="t" o:hr="t"/>
        </w:pict>
      </w:r>
    </w:p>
    <w:bookmarkStart w:id="31" w:name="X7234471085a2f03d4d7c18b47a1ef0b26edfabd"/>
    <w:p>
      <w:pPr>
        <w:pStyle w:val="Heading2"/>
      </w:pPr>
      <w:r>
        <w:t xml:space="preserve">3. Data Collection and Emission Factor Assumptions</w:t>
      </w:r>
    </w:p>
    <w:p>
      <w:pPr>
        <w:pStyle w:val="FirstParagraph"/>
      </w:pPr>
      <w:r>
        <w:t xml:space="preserve">Primary data points from jtyylnwxyr, combined with secondary data from industry-standard emission factor databases, were used for calculations. Assumptions for generic parameters are clearly stated below.</w:t>
      </w:r>
    </w:p>
    <w:bookmarkStart w:id="26" w:name="X3917ac91adec3be1cf8f47b16bc61fc18b46084"/>
    <w:p>
      <w:pPr>
        <w:pStyle w:val="Heading3"/>
      </w:pPr>
      <w:r>
        <w:t xml:space="preserve">Material Inputs (Scope 3, Category 1 - Purchased Goods &amp; Services)</w:t>
      </w:r>
    </w:p>
    <w:p>
      <w:pPr>
        <w:pStyle w:val="FirstParagraph"/>
      </w:pPr>
      <w:r>
        <w:t xml:space="preserve">Based on the provided Detailed Bill of Materials (iuiuvfwm), the total carbon impact from raw materials for one unit of EcoGadget Pro is the sum of the \'Total Carbon\' column.</w:t>
      </w:r>
    </w:p>
    <w:p>
      <w:pPr>
        <w:numPr>
          <w:ilvl w:val="0"/>
          <w:numId w:val="1003"/>
        </w:numPr>
        <w:pStyle w:val="Compact"/>
      </w:pPr>
      <w:r>
        <w:rPr>
          <w:bCs/>
          <w:b/>
        </w:rPr>
        <w:t xml:space="preserve">Total Material Emissions:</w:t>
      </w:r>
      <w:r>
        <w:t xml:space="preserve"> </w:t>
      </w:r>
      <w:r>
        <w:t xml:space="preserve">4.5 kg CO2e</w:t>
      </w:r>
    </w:p>
    <w:p>
      <w:pPr>
        <w:numPr>
          <w:ilvl w:val="0"/>
          <w:numId w:val="1003"/>
        </w:numPr>
        <w:pStyle w:val="Compact"/>
      </w:pPr>
      <w:r>
        <w:rPr>
          <w:bCs/>
          <w:b/>
        </w:rPr>
        <w:t xml:space="preserve">Total Product Weight:</w:t>
      </w:r>
      <w:r>
        <w:t xml:space="preserve"> </w:t>
      </w:r>
      <w:r>
        <w:t xml:space="preserve">0.43 kg (sum of quantities from BOM with \'kg\' unit)</w:t>
      </w:r>
    </w:p>
    <w:bookmarkEnd w:id="26"/>
    <w:bookmarkStart w:id="27" w:name="X9c6413fcbfc1f04fb2a5fed85fa49d357ca9aa6"/>
    <w:p>
      <w:pPr>
        <w:pStyle w:val="Heading3"/>
      </w:pPr>
      <w:r>
        <w:t xml:space="preserve">Energy Inputs (Scope 2 - Purchased Electricity)</w:t>
      </w:r>
    </w:p>
    <w:p>
      <w:pPr>
        <w:numPr>
          <w:ilvl w:val="0"/>
          <w:numId w:val="1004"/>
        </w:numPr>
        <w:pStyle w:val="Compact"/>
      </w:pPr>
      <w:r>
        <w:rPr>
          <w:bCs/>
          <w:b/>
        </w:rPr>
        <w:t xml:space="preserve">Energy Intensity for Production (uegdgyuwyy):</w:t>
      </w:r>
      <w:r>
        <w:t xml:space="preserve"> </w:t>
      </w:r>
      <w:r>
        <w:t xml:space="preserve">15 kWh/unit</w:t>
      </w:r>
    </w:p>
    <w:p>
      <w:pPr>
        <w:numPr>
          <w:ilvl w:val="0"/>
          <w:numId w:val="1004"/>
        </w:numPr>
        <w:pStyle w:val="Compact"/>
      </w:pPr>
      <w:r>
        <w:rPr>
          <w:bCs/>
          <w:b/>
        </w:rPr>
        <w:t xml:space="preserve">Renewable Energy Usage (tivpertiqj):</w:t>
      </w:r>
      <w:r>
        <w:t xml:space="preserve"> </w:t>
      </w:r>
      <w:r>
        <w:t xml:space="preserve">70%</w:t>
      </w:r>
    </w:p>
    <w:p>
      <w:pPr>
        <w:numPr>
          <w:ilvl w:val="0"/>
          <w:numId w:val="1004"/>
        </w:numPr>
        <w:pStyle w:val="Compact"/>
      </w:pPr>
      <w:r>
        <w:rPr>
          <w:bCs/>
          <w:b/>
        </w:rPr>
        <w:t xml:space="preserve">Non-renewable Electricity:</w:t>
      </w:r>
      <w:r>
        <w:t xml:space="preserve"> </w:t>
      </w:r>
      <w:r>
        <w:t xml:space="preserve">15 kWh/unit * (1 - 0.70) = 4.5 kWh/unit</w:t>
      </w:r>
    </w:p>
    <w:p>
      <w:pPr>
        <w:numPr>
          <w:ilvl w:val="0"/>
          <w:numId w:val="1004"/>
        </w:numPr>
        <w:pStyle w:val="Compact"/>
      </w:pPr>
      <w:r>
        <w:rPr>
          <w:bCs/>
          <w:b/>
        </w:rPr>
        <w:t xml:space="preserve">Grid Electricity Emission Factor (China):</w:t>
      </w:r>
      <w:r>
        <w:t xml:space="preserve"> </w:t>
      </w:r>
      <w:r>
        <w:t xml:space="preserve">0.6 kg CO2e/kWh (Assumed based on average China grid mix.)</w:t>
      </w:r>
    </w:p>
    <w:bookmarkEnd w:id="27"/>
    <w:bookmarkStart w:id="28" w:name="X012d9eebbcf6396876af6c28351403733bcd412"/>
    <w:p>
      <w:pPr>
        <w:pStyle w:val="Heading3"/>
      </w:pPr>
      <w:r>
        <w:t xml:space="preserve">Logistics Data (Scope 3, Category 9 - Downstream Transportation &amp; Distribution)</w:t>
      </w:r>
    </w:p>
    <w:p>
      <w:pPr>
        <w:numPr>
          <w:ilvl w:val="0"/>
          <w:numId w:val="1005"/>
        </w:numPr>
        <w:pStyle w:val="Compact"/>
      </w:pPr>
      <w:r>
        <w:rPr>
          <w:bCs/>
          <w:b/>
        </w:rPr>
        <w:t xml:space="preserve">Main Transport Mode (Select Mode):</w:t>
      </w:r>
      <w:r>
        <w:t xml:space="preserve"> </w:t>
      </w:r>
      <w:r>
        <w:t xml:space="preserve">Ocean Freight (Container Ship)</w:t>
      </w:r>
    </w:p>
    <w:p>
      <w:pPr>
        <w:numPr>
          <w:ilvl w:val="0"/>
          <w:numId w:val="1005"/>
        </w:numPr>
        <w:pStyle w:val="Compact"/>
      </w:pPr>
      <w:r>
        <w:rPr>
          <w:bCs/>
          <w:b/>
        </w:rPr>
        <w:t xml:space="preserve">Transport Distance (znoixzxdnf):</w:t>
      </w:r>
      <w:r>
        <w:t xml:space="preserve"> </w:t>
      </w:r>
      <w:r>
        <w:t xml:space="preserve">12,000 km (Assumed for Ocean Freight from China to Europe)</w:t>
      </w:r>
    </w:p>
    <w:p>
      <w:pPr>
        <w:numPr>
          <w:ilvl w:val="0"/>
          <w:numId w:val="1005"/>
        </w:numPr>
        <w:pStyle w:val="Compact"/>
      </w:pPr>
      <w:r>
        <w:rPr>
          <w:bCs/>
          <w:b/>
        </w:rPr>
        <w:t xml:space="preserve">Ocean Freight Emission Factor:</w:t>
      </w:r>
      <w:r>
        <w:t xml:space="preserve"> </w:t>
      </w:r>
      <w:r>
        <w:t xml:space="preserve">0.016 kg CO2e/tonne-km (Assumed based on industry averages for container ships.)</w:t>
      </w:r>
    </w:p>
    <w:p>
      <w:pPr>
        <w:numPr>
          <w:ilvl w:val="0"/>
          <w:numId w:val="1005"/>
        </w:numPr>
        <w:pStyle w:val="Compact"/>
      </w:pPr>
      <w:r>
        <w:rPr>
          <w:bCs/>
          <w:b/>
        </w:rPr>
        <w:t xml:space="preserve">Last-Mile Delivery Channel (Delivery Type):</w:t>
      </w:r>
      <w:r>
        <w:t xml:space="preserve"> </w:t>
      </w:r>
      <w:r>
        <w:t xml:space="preserve">Road Freight (Light Commercial Vehicle)</w:t>
      </w:r>
    </w:p>
    <w:p>
      <w:pPr>
        <w:numPr>
          <w:ilvl w:val="0"/>
          <w:numId w:val="1005"/>
        </w:numPr>
        <w:pStyle w:val="Compact"/>
      </w:pPr>
      <w:r>
        <w:rPr>
          <w:bCs/>
          <w:b/>
        </w:rPr>
        <w:t xml:space="preserve">Last-Mile Delivery Distance:</w:t>
      </w:r>
      <w:r>
        <w:t xml:space="preserve"> </w:t>
      </w:r>
      <w:r>
        <w:t xml:space="preserve">500 km (Assumed average for European last-mile distribution)</w:t>
      </w:r>
    </w:p>
    <w:p>
      <w:pPr>
        <w:numPr>
          <w:ilvl w:val="0"/>
          <w:numId w:val="1005"/>
        </w:numPr>
        <w:pStyle w:val="Compact"/>
      </w:pPr>
      <w:r>
        <w:rPr>
          <w:bCs/>
          <w:b/>
        </w:rPr>
        <w:t xml:space="preserve">Road Freight Emission Factor:</w:t>
      </w:r>
      <w:r>
        <w:t xml:space="preserve"> </w:t>
      </w:r>
      <w:r>
        <w:t xml:space="preserve">0.2 kg CO2e/tonne-km (Assumed based on light commercial vehicle averages.)</w:t>
      </w:r>
    </w:p>
    <w:bookmarkEnd w:id="28"/>
    <w:bookmarkStart w:id="29" w:name="X7a3f11059e0d82a683d0925a84222458a073fa2"/>
    <w:p>
      <w:pPr>
        <w:pStyle w:val="Heading3"/>
      </w:pPr>
      <w:r>
        <w:t xml:space="preserve">Use Phase Data (Scope 3, Category 11 - Use of Sold Products)</w:t>
      </w:r>
    </w:p>
    <w:p>
      <w:pPr>
        <w:numPr>
          <w:ilvl w:val="0"/>
          <w:numId w:val="1006"/>
        </w:numPr>
        <w:pStyle w:val="Compact"/>
      </w:pPr>
      <w:r>
        <w:rPr>
          <w:bCs/>
          <w:b/>
        </w:rPr>
        <w:t xml:space="preserve">Product Lifespan (lrgzldrpiw):</w:t>
      </w:r>
      <w:r>
        <w:t xml:space="preserve"> </w:t>
      </w:r>
      <w:r>
        <w:t xml:space="preserve">7 years</w:t>
      </w:r>
    </w:p>
    <w:p>
      <w:pPr>
        <w:numPr>
          <w:ilvl w:val="0"/>
          <w:numId w:val="1006"/>
        </w:numPr>
        <w:pStyle w:val="Compact"/>
      </w:pPr>
      <w:r>
        <w:rPr>
          <w:bCs/>
          <w:b/>
        </w:rPr>
        <w:t xml:space="preserve">Energy Consumption in Use (jqupwpmqmx):</w:t>
      </w:r>
      <w:r>
        <w:t xml:space="preserve"> </w:t>
      </w:r>
      <w:r>
        <w:t xml:space="preserve">8 kWh/year</w:t>
      </w:r>
    </w:p>
    <w:p>
      <w:pPr>
        <w:numPr>
          <w:ilvl w:val="0"/>
          <w:numId w:val="1006"/>
        </w:numPr>
        <w:pStyle w:val="Compact"/>
      </w:pPr>
      <w:r>
        <w:rPr>
          <w:bCs/>
          <w:b/>
        </w:rPr>
        <w:t xml:space="preserve">Total Energy Consumption over Lifespan:</w:t>
      </w:r>
      <w:r>
        <w:t xml:space="preserve"> </w:t>
      </w:r>
      <w:r>
        <w:t xml:space="preserve">56 kWh/unit</w:t>
      </w:r>
    </w:p>
    <w:p>
      <w:pPr>
        <w:numPr>
          <w:ilvl w:val="0"/>
          <w:numId w:val="1006"/>
        </w:numPr>
        <w:pStyle w:val="Compact"/>
      </w:pPr>
      <w:r>
        <w:rPr>
          <w:bCs/>
          <w:b/>
        </w:rPr>
        <w:t xml:space="preserve">Grid Electricity Emission Factor (Global Average for Use):</w:t>
      </w:r>
      <w:r>
        <w:t xml:space="preserve"> </w:t>
      </w:r>
      <w:r>
        <w:t xml:space="preserve">0.4 kg CO2e/kWh (Assumed based on a general global average grid mix.)</w:t>
      </w:r>
    </w:p>
    <w:bookmarkEnd w:id="29"/>
    <w:bookmarkStart w:id="30" w:name="X0e942e1472ee92a5ae132af938b75f8f2a8255c"/>
    <w:p>
      <w:pPr>
        <w:pStyle w:val="Heading3"/>
      </w:pPr>
      <w:r>
        <w:t xml:space="preserve">End-of-Life Data (Scope 3, Category 12 - End-of-Life Treatment of Sold Products)</w:t>
      </w:r>
    </w:p>
    <w:p>
      <w:pPr>
        <w:numPr>
          <w:ilvl w:val="0"/>
          <w:numId w:val="1007"/>
        </w:numPr>
        <w:pStyle w:val="Compact"/>
      </w:pPr>
      <w:r>
        <w:rPr>
          <w:bCs/>
          <w:b/>
        </w:rPr>
        <w:t xml:space="preserve">Recyclability Percentage (gttsifidth):</w:t>
      </w:r>
      <w:r>
        <w:t xml:space="preserve"> </w:t>
      </w:r>
      <w:r>
        <w:t xml:space="preserve">85%</w:t>
      </w:r>
    </w:p>
    <w:p>
      <w:pPr>
        <w:numPr>
          <w:ilvl w:val="0"/>
          <w:numId w:val="1007"/>
        </w:numPr>
        <w:pStyle w:val="Compact"/>
      </w:pPr>
      <w:r>
        <w:rPr>
          <w:bCs/>
          <w:b/>
        </w:rPr>
        <w:t xml:space="preserve">Non-recycled Percentage:</w:t>
      </w:r>
      <w:r>
        <w:t xml:space="preserve"> </w:t>
      </w:r>
      <w:r>
        <w:t xml:space="preserve">15%</w:t>
      </w:r>
    </w:p>
    <w:p>
      <w:pPr>
        <w:numPr>
          <w:ilvl w:val="0"/>
          <w:numId w:val="1007"/>
        </w:numPr>
        <w:pStyle w:val="Compact"/>
      </w:pPr>
      <w:r>
        <w:rPr>
          <w:bCs/>
          <w:b/>
        </w:rPr>
        <w:t xml:space="preserve">End-of-Life Emission Factor (for non-recycled waste):</w:t>
      </w:r>
      <w:r>
        <w:t xml:space="preserve"> </w:t>
      </w:r>
      <w:r>
        <w:t xml:space="preserve">1.2 kg CO2e/kg (Assumed for landfill/incineration of mixed waste.)</w:t>
      </w:r>
    </w:p>
    <w:p>
      <w:pPr>
        <w:numPr>
          <w:ilvl w:val="0"/>
          <w:numId w:val="1007"/>
        </w:numPr>
        <w:pStyle w:val="Compact"/>
      </w:pPr>
      <w:r>
        <w:rPr>
          <w:bCs/>
          <w:b/>
        </w:rPr>
        <w:t xml:space="preserve">Circular/Take-back Programs (pulsmqqglt):</w:t>
      </w:r>
      <w:r>
        <w:t xml:space="preserve"> </w:t>
      </w:r>
      <w:r>
        <w:t xml:space="preserve">"Comprehensive take-back and refurbishment program in place." (Qualitatively noted for future detailed analysis of avoided emissions).</w:t>
      </w:r>
    </w:p>
    <w:bookmarkEnd w:id="30"/>
    <w:bookmarkEnd w:id="31"/>
    <w:p>
      <w:r>
        <w:pict>
          <v:rect style="width:0;height:1.5pt" o:hralign="center" o:hrstd="t" o:hr="t"/>
        </w:pict>
      </w:r>
    </w:p>
    <w:bookmarkStart w:id="42" w:name="Xdd1c2ba429305467bad58a0828410d9d0fce25c"/>
    <w:p>
      <w:pPr>
        <w:pStyle w:val="Heading2"/>
      </w:pPr>
      <w:r>
        <w:t xml:space="preserve">4. Emissions Calculation (Activity * Emission Factor = CO2e)</w:t>
      </w:r>
    </w:p>
    <w:p>
      <w:pPr>
        <w:pStyle w:val="FirstParagraph"/>
      </w:pPr>
      <w:r>
        <w:t xml:space="preserve">The emissions for each lifecycle stage have been calculated and categorized according to the GHG Protocol.</w:t>
      </w:r>
    </w:p>
    <w:bookmarkStart w:id="32" w:name="scope-1-emissions-direct-emissions"/>
    <w:p>
      <w:pPr>
        <w:pStyle w:val="Heading3"/>
      </w:pPr>
      <w:r>
        <w:t xml:space="preserve">Scope 1 Emissions: Direct Emissions</w:t>
      </w:r>
    </w:p>
    <w:p>
      <w:pPr>
        <w:pStyle w:val="FirstParagraph"/>
      </w:pPr>
      <w:r>
        <w:t xml:space="preserve">For the product\'s PCF based on provided parameters, direct emissions from owned or controlled sources (e.g., on-site fuel combustion for manufacturing processes) are assumed to be negligible or covered under Scope 2 if from purchased electricity. If jtyylnwxyr has direct combustion emissions at its facility relevant to the production of zkmxmxrmmm, these would be included here. Based on the provided data, none are directly attributable for this product\'s PCF. Therefore, Scope 1 for this PCF analysis is reported as 0.0 kg CO2e.</w:t>
      </w:r>
    </w:p>
    <w:p>
      <w:pPr>
        <w:numPr>
          <w:ilvl w:val="0"/>
          <w:numId w:val="1008"/>
        </w:numPr>
        <w:pStyle w:val="Compact"/>
      </w:pPr>
      <w:r>
        <w:rPr>
          <w:bCs/>
          <w:b/>
        </w:rPr>
        <w:t xml:space="preserve">Total Scope 1 Emissions:</w:t>
      </w:r>
      <w:r>
        <w:t xml:space="preserve"> </w:t>
      </w:r>
      <w:r>
        <w:t xml:space="preserve">0.0 kg CO2e</w:t>
      </w:r>
    </w:p>
    <w:bookmarkEnd w:id="32"/>
    <w:bookmarkStart w:id="33" w:name="Xea3a0be011cd6660e8b4fde47b2db6c687f0551"/>
    <w:p>
      <w:pPr>
        <w:pStyle w:val="Heading3"/>
      </w:pPr>
      <w:r>
        <w:t xml:space="preserve">Scope 2 Emissions: Purchased Energy Emissions</w:t>
      </w:r>
    </w:p>
    <w:p>
      <w:pPr>
        <w:pStyle w:val="FirstParagraph"/>
      </w:pPr>
      <w:r>
        <w:t xml:space="preserve">These emissions result from the generation of purchased electricity consumed during the manufacturing of EcoGadget Pro.</w:t>
      </w:r>
    </w:p>
    <w:p>
      <w:pPr>
        <w:numPr>
          <w:ilvl w:val="0"/>
          <w:numId w:val="1009"/>
        </w:numPr>
        <w:pStyle w:val="Compact"/>
      </w:pPr>
      <w:r>
        <w:rPr>
          <w:bCs/>
          <w:b/>
        </w:rPr>
        <w:t xml:space="preserve">Calculation:</w:t>
      </w:r>
      <w:r>
        <w:t xml:space="preserve"> </w:t>
      </w:r>
      <w:r>
        <w:t xml:space="preserve">(Energy Intensity * (1 - Renewable Energy Usage)) * Grid Electricity Emission Factor (China)</w:t>
      </w:r>
    </w:p>
    <w:p>
      <w:pPr>
        <w:numPr>
          <w:ilvl w:val="0"/>
          <w:numId w:val="1009"/>
        </w:numPr>
        <w:pStyle w:val="Compact"/>
      </w:pPr>
      <w:r>
        <w:rPr>
          <w:bCs/>
          <w:b/>
        </w:rPr>
        <w:t xml:space="preserve">Emissions:</w:t>
      </w:r>
      <w:r>
        <w:t xml:space="preserve"> </w:t>
      </w:r>
      <w:r>
        <w:t xml:space="preserve">(15 kWh/unit * (1 - 0.70)) * 0.6 kg CO2e/kWh = 4.5 kWh/unit * 0.6 kg CO2e/kWh = 2.7 kg CO2e/unit.</w:t>
      </w:r>
    </w:p>
    <w:p>
      <w:pPr>
        <w:numPr>
          <w:ilvl w:val="0"/>
          <w:numId w:val="1009"/>
        </w:numPr>
        <w:pStyle w:val="Compact"/>
      </w:pPr>
      <w:r>
        <w:rPr>
          <w:bCs/>
          <w:b/>
        </w:rPr>
        <w:t xml:space="preserve">Total Scope 2 Emissions:</w:t>
      </w:r>
      <w:r>
        <w:t xml:space="preserve"> </w:t>
      </w:r>
      <w:r>
        <w:t xml:space="preserve">2.7 kg CO2e/unit</w:t>
      </w:r>
    </w:p>
    <w:bookmarkEnd w:id="33"/>
    <w:bookmarkStart w:id="40" w:name="scope-3-emissions-value-chain-emissions"/>
    <w:p>
      <w:pPr>
        <w:pStyle w:val="Heading3"/>
      </w:pPr>
      <w:r>
        <w:t xml:space="preserve">Scope 3 Emissions: Value Chain Emissions</w:t>
      </w:r>
    </w:p>
    <w:p>
      <w:pPr>
        <w:pStyle w:val="FirstParagraph"/>
      </w:pPr>
      <w:r>
        <w:t xml:space="preserve">This category encompasses all other indirect emissions, covering the entire value chain from upstream material sourcing to downstream product use and end-of-life.</w:t>
      </w:r>
    </w:p>
    <w:bookmarkStart w:id="34" w:name="Xab9729a0caae076ca89f2f71668734f92723cf2"/>
    <w:p>
      <w:pPr>
        <w:pStyle w:val="Heading4"/>
      </w:pPr>
      <w:r>
        <w:t xml:space="preserve">Category 1: Purchased Goods and Services (Materials)</w:t>
      </w:r>
    </w:p>
    <w:p>
      <w:pPr>
        <w:pStyle w:val="FirstParagraph"/>
      </w:pPr>
      <w:r>
        <w:t xml:space="preserve">Emissions from the extraction, production, and pre-processing of raw materials as detailed in the BOM.</w:t>
      </w:r>
    </w:p>
    <w:p>
      <w:pPr>
        <w:numPr>
          <w:ilvl w:val="0"/>
          <w:numId w:val="1010"/>
        </w:numPr>
        <w:pStyle w:val="Compact"/>
      </w:pPr>
      <w:r>
        <w:rPr>
          <w:bCs/>
          <w:b/>
        </w:rPr>
        <w:t xml:space="preserve">Total Material Emissions:</w:t>
      </w:r>
      <w:r>
        <w:t xml:space="preserve"> </w:t>
      </w:r>
      <w:r>
        <w:t xml:space="preserve">4.5 kg CO2e/unit</w:t>
      </w:r>
    </w:p>
    <w:bookmarkEnd w:id="34"/>
    <w:bookmarkStart w:id="35" w:name="X6669a43143349c25ec93e775eebde43de53a73c"/>
    <w:p>
      <w:pPr>
        <w:pStyle w:val="Heading4"/>
      </w:pPr>
      <w:r>
        <w:t xml:space="preserve">Category 4: Upstream Transportation and Distribution</w:t>
      </w:r>
    </w:p>
    <w:p>
      <w:pPr>
        <w:pStyle w:val="FirstParagraph"/>
      </w:pPr>
      <w:r>
        <w:t xml:space="preserve">While a detailed breakdown of raw material transport from Europe to China was not provided, its impact is acknowledged. For this analysis, we focus on the downstream transport explicitly detailed.</w:t>
      </w:r>
    </w:p>
    <w:p>
      <w:pPr>
        <w:numPr>
          <w:ilvl w:val="0"/>
          <w:numId w:val="1011"/>
        </w:numPr>
        <w:pStyle w:val="Compact"/>
      </w:pPr>
      <w:r>
        <w:rPr>
          <w:bCs/>
          <w:b/>
        </w:rPr>
        <w:t xml:space="preserve">Upstream Transport Emissions:</w:t>
      </w:r>
      <w:r>
        <w:t xml:space="preserve"> </w:t>
      </w:r>
      <w:r>
        <w:t xml:space="preserve">0.0 kg CO2e (Not explicitly calculated with provided data, but acknowledged as part of the system boundary. Could be included with more specific data.)</w:t>
      </w:r>
    </w:p>
    <w:bookmarkEnd w:id="35"/>
    <w:bookmarkStart w:id="36" w:name="X25a0837e2ca53a982bfb6f58a50970139f4f25f"/>
    <w:p>
      <w:pPr>
        <w:pStyle w:val="Heading4"/>
      </w:pPr>
      <w:r>
        <w:t xml:space="preserve">Category 9: Downstream Transportation and Distribution</w:t>
      </w:r>
    </w:p>
    <w:p>
      <w:pPr>
        <w:pStyle w:val="FirstParagraph"/>
      </w:pPr>
      <w:r>
        <w:t xml:space="preserve">Emissions from the transportation of the finished EcoGadget Pro from the factory to the customer.</w:t>
      </w:r>
    </w:p>
    <w:p>
      <w:pPr>
        <w:numPr>
          <w:ilvl w:val="0"/>
          <w:numId w:val="1012"/>
        </w:numPr>
        <w:pStyle w:val="Compact"/>
      </w:pPr>
      <w:r>
        <w:rPr>
          <w:bCs/>
          <w:b/>
        </w:rPr>
        <w:t xml:space="preserve">Main Transport (Ocean Freight):</w:t>
      </w:r>
      <w:r>
        <w:t xml:space="preserve"> </w:t>
      </w:r>
      <w:r>
        <w:t xml:space="preserve">0.00043 tonnes * 12,000 km * 0.016 kg CO2e/tonne-km = 0.08256 kg CO2e/unit.</w:t>
      </w:r>
    </w:p>
    <w:p>
      <w:pPr>
        <w:numPr>
          <w:ilvl w:val="0"/>
          <w:numId w:val="1012"/>
        </w:numPr>
        <w:pStyle w:val="Compact"/>
      </w:pPr>
      <w:r>
        <w:rPr>
          <w:bCs/>
          <w:b/>
        </w:rPr>
        <w:t xml:space="preserve">Last-Mile Delivery (Road Freight):</w:t>
      </w:r>
      <w:r>
        <w:t xml:space="preserve"> </w:t>
      </w:r>
      <w:r>
        <w:t xml:space="preserve">0.00043 tonnes * 500 km * 0.2 kg CO2e/tonne-km = 0.043 kg CO2e/unit.</w:t>
      </w:r>
    </w:p>
    <w:p>
      <w:pPr>
        <w:numPr>
          <w:ilvl w:val="0"/>
          <w:numId w:val="1012"/>
        </w:numPr>
        <w:pStyle w:val="Compact"/>
      </w:pPr>
      <w:r>
        <w:rPr>
          <w:bCs/>
          <w:b/>
        </w:rPr>
        <w:t xml:space="preserve">Total Transport Emissions:</w:t>
      </w:r>
      <w:r>
        <w:t xml:space="preserve"> </w:t>
      </w:r>
      <w:r>
        <w:t xml:space="preserve">0.08256 + 0.043 = 0.12556 kg CO2e/unit.</w:t>
      </w:r>
    </w:p>
    <w:bookmarkEnd w:id="36"/>
    <w:bookmarkStart w:id="37" w:name="category-11-use-of-sold-products"/>
    <w:p>
      <w:pPr>
        <w:pStyle w:val="Heading4"/>
      </w:pPr>
      <w:r>
        <w:t xml:space="preserve">Category 11: Use of Sold Products</w:t>
      </w:r>
    </w:p>
    <w:p>
      <w:pPr>
        <w:pStyle w:val="FirstParagraph"/>
      </w:pPr>
      <w:r>
        <w:t xml:space="preserve">Emissions generated during the operational lifespan of the EcoGadget Pro by the end-user.</w:t>
      </w:r>
    </w:p>
    <w:p>
      <w:pPr>
        <w:numPr>
          <w:ilvl w:val="0"/>
          <w:numId w:val="1013"/>
        </w:numPr>
        <w:pStyle w:val="Compact"/>
      </w:pPr>
      <w:r>
        <w:rPr>
          <w:bCs/>
          <w:b/>
        </w:rPr>
        <w:t xml:space="preserve">Calculation:</w:t>
      </w:r>
      <w:r>
        <w:t xml:space="preserve"> </w:t>
      </w:r>
      <w:r>
        <w:t xml:space="preserve">Total Energy Consumption over Lifespan * Grid Electricity Emission Factor (Global Average)</w:t>
      </w:r>
    </w:p>
    <w:p>
      <w:pPr>
        <w:numPr>
          <w:ilvl w:val="0"/>
          <w:numId w:val="1013"/>
        </w:numPr>
        <w:pStyle w:val="Compact"/>
      </w:pPr>
      <w:r>
        <w:rPr>
          <w:bCs/>
          <w:b/>
        </w:rPr>
        <w:t xml:space="preserve">Emissions:</w:t>
      </w:r>
      <w:r>
        <w:t xml:space="preserve"> </w:t>
      </w:r>
      <w:r>
        <w:t xml:space="preserve">56 kWh/unit * 0.4 kg CO2e/kWh = 22.4 kg CO2e/unit.</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associated with the disposal of the product at the end of its life, considering recyclability.</w:t>
      </w:r>
    </w:p>
    <w:p>
      <w:pPr>
        <w:numPr>
          <w:ilvl w:val="0"/>
          <w:numId w:val="1014"/>
        </w:numPr>
        <w:pStyle w:val="Compact"/>
      </w:pPr>
      <w:r>
        <w:rPr>
          <w:bCs/>
          <w:b/>
        </w:rPr>
        <w:t xml:space="preserve">Non-recycled Product Mass:</w:t>
      </w:r>
      <w:r>
        <w:t xml:space="preserve"> </w:t>
      </w:r>
      <w:r>
        <w:t xml:space="preserve">0.43 kg * (1 - 0.85) = 0.0645 kg/unit.</w:t>
      </w:r>
    </w:p>
    <w:p>
      <w:pPr>
        <w:numPr>
          <w:ilvl w:val="0"/>
          <w:numId w:val="1014"/>
        </w:numPr>
        <w:pStyle w:val="Compact"/>
      </w:pPr>
      <w:r>
        <w:rPr>
          <w:bCs/>
          <w:b/>
        </w:rPr>
        <w:t xml:space="preserve">EoL Emissions (for non-recycled portion):</w:t>
      </w:r>
      <w:r>
        <w:t xml:space="preserve"> </w:t>
      </w:r>
      <w:r>
        <w:t xml:space="preserve">0.0645 kg/unit * 1.2 kg CO2e/kg = 0.0774 kg CO2e/unit.</w:t>
      </w:r>
    </w:p>
    <w:p>
      <w:pPr>
        <w:numPr>
          <w:ilvl w:val="0"/>
          <w:numId w:val="1014"/>
        </w:numPr>
        <w:pStyle w:val="Compact"/>
      </w:pPr>
      <w:r>
        <w:rPr>
          <w:bCs/>
          <w:b/>
        </w:rPr>
        <w:t xml:space="preserve">Impact of Circular Programs:</w:t>
      </w:r>
      <w:r>
        <w:t xml:space="preserve"> </w:t>
      </w:r>
      <w:r>
        <w:t xml:space="preserve">The "Comprehensive take-back and refurbishment program in place" (pulsmqqglt) indicates a proactive approach to reducing EoL impact. While specific avoided emissions from refurbishment are not quantified here without further data, such programs significantly reduce the burden compared to linear disposal models.</w:t>
      </w:r>
    </w:p>
    <w:bookmarkEnd w:id="38"/>
    <w:bookmarkStart w:id="39" w:name="total-scope-3-emissions"/>
    <w:p>
      <w:pPr>
        <w:pStyle w:val="Heading4"/>
      </w:pPr>
      <w:r>
        <w:t xml:space="preserve">Total Scope 3 Emissions</w:t>
      </w:r>
    </w:p>
    <w:p>
      <w:pPr>
        <w:numPr>
          <w:ilvl w:val="0"/>
          <w:numId w:val="1015"/>
        </w:numPr>
        <w:pStyle w:val="Compact"/>
      </w:pPr>
      <w:r>
        <w:rPr>
          <w:bCs/>
          <w:b/>
        </w:rPr>
        <w:t xml:space="preserve">Total Scope 3:</w:t>
      </w:r>
      <w:r>
        <w:t xml:space="preserve"> </w:t>
      </w:r>
      <w:r>
        <w:t xml:space="preserve">4.5 (Materials) + 0.12556 (Transport) + 22.4 (Use) + 0.0774 (EoL) = 27.10296 kg CO2e/unit.</w:t>
      </w:r>
    </w:p>
    <w:bookmarkEnd w:id="39"/>
    <w:bookmarkEnd w:id="40"/>
    <w:bookmarkStart w:id="41" w:name="X866937cb5d0e50381286266bb2e3e8e9b1d54d9"/>
    <w:p>
      <w:pPr>
        <w:pStyle w:val="Heading3"/>
      </w:pPr>
      <w:r>
        <w:t xml:space="preserve">Summary of Product Carbon Footprint (PCF)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rPr>
                <w:bCs/>
                <w:b/>
              </w:rPr>
              <w:t xml:space="preserve">Scope 2: Purchased Energy</w:t>
            </w:r>
          </w:p>
        </w:tc>
        <w:tc>
          <w:tcPr/>
          <w:p>
            <w:pPr>
              <w:pStyle w:val="Compact"/>
              <w:jc w:val="left"/>
            </w:pPr>
            <w:r>
              <w:t xml:space="preserve">2.7</w:t>
            </w:r>
          </w:p>
        </w:tc>
        <w:tc>
          <w:tcPr/>
          <w:p>
            <w:pPr>
              <w:pStyle w:val="Compact"/>
              <w:jc w:val="left"/>
            </w:pPr>
            <w:r>
              <w:t xml:space="preserve">9.06%</w:t>
            </w:r>
          </w:p>
        </w:tc>
      </w:tr>
      <w:tr>
        <w:tc>
          <w:tcPr/>
          <w:p>
            <w:pPr>
              <w:pStyle w:val="Compact"/>
              <w:jc w:val="left"/>
            </w:pPr>
            <w:r>
              <w:rPr>
                <w:bCs/>
                <w:b/>
              </w:rPr>
              <w:t xml:space="preserve">Scope 3: Value Chain Emissions</w:t>
            </w:r>
          </w:p>
        </w:tc>
        <w:tc>
          <w:tcPr/>
          <w:p>
            <w:pPr>
              <w:pStyle w:val="Compact"/>
              <w:jc w:val="left"/>
            </w:pPr>
            <w:r>
              <w:t xml:space="preserve">27.10</w:t>
            </w:r>
          </w:p>
        </w:tc>
        <w:tc>
          <w:tcPr/>
          <w:p>
            <w:pPr>
              <w:pStyle w:val="Compact"/>
              <w:jc w:val="left"/>
            </w:pPr>
            <w:r>
              <w:t xml:space="preserve">90.94%</w:t>
            </w:r>
          </w:p>
        </w:tc>
      </w:tr>
      <w:tr>
        <w:tc>
          <w:tcPr/>
          <w:p>
            <w:pPr>
              <w:pStyle w:val="Compact"/>
              <w:jc w:val="left"/>
            </w:pPr>
            <w:r>
              <w:rPr>
                <w:iCs/>
                <w:i/>
              </w:rPr>
              <w:t xml:space="preserve">– Category 1: Purchased Goods &amp; Services (Materials)</w:t>
            </w:r>
          </w:p>
        </w:tc>
        <w:tc>
          <w:tcPr/>
          <w:p>
            <w:pPr>
              <w:pStyle w:val="Compact"/>
              <w:jc w:val="left"/>
            </w:pPr>
            <w:r>
              <w:t xml:space="preserve">4.5</w:t>
            </w:r>
          </w:p>
        </w:tc>
        <w:tc>
          <w:tcPr/>
          <w:p>
            <w:pPr>
              <w:pStyle w:val="Compact"/>
              <w:jc w:val="left"/>
            </w:pPr>
            <w:r>
              <w:t xml:space="preserve">15.10%</w:t>
            </w:r>
          </w:p>
        </w:tc>
      </w:tr>
      <w:tr>
        <w:tc>
          <w:tcPr/>
          <w:p>
            <w:pPr>
              <w:pStyle w:val="Compact"/>
              <w:jc w:val="left"/>
            </w:pPr>
            <w:r>
              <w:rPr>
                <w:iCs/>
                <w:i/>
              </w:rPr>
              <w:t xml:space="preserve">– Category 9: Downstream Transportation &amp; Distribution</w:t>
            </w:r>
          </w:p>
        </w:tc>
        <w:tc>
          <w:tcPr/>
          <w:p>
            <w:pPr>
              <w:pStyle w:val="Compact"/>
              <w:jc w:val="left"/>
            </w:pPr>
            <w:r>
              <w:t xml:space="preserve">0.13</w:t>
            </w:r>
          </w:p>
        </w:tc>
        <w:tc>
          <w:tcPr/>
          <w:p>
            <w:pPr>
              <w:pStyle w:val="Compact"/>
              <w:jc w:val="left"/>
            </w:pPr>
            <w:r>
              <w:t xml:space="preserve">0.44%</w:t>
            </w:r>
          </w:p>
        </w:tc>
      </w:tr>
      <w:tr>
        <w:tc>
          <w:tcPr/>
          <w:p>
            <w:pPr>
              <w:pStyle w:val="Compact"/>
              <w:jc w:val="left"/>
            </w:pPr>
            <w:r>
              <w:rPr>
                <w:iCs/>
                <w:i/>
              </w:rPr>
              <w:t xml:space="preserve">– Category 11: Use of Sold Products</w:t>
            </w:r>
          </w:p>
        </w:tc>
        <w:tc>
          <w:tcPr/>
          <w:p>
            <w:pPr>
              <w:pStyle w:val="Compact"/>
              <w:jc w:val="left"/>
            </w:pPr>
            <w:r>
              <w:t xml:space="preserve">22.4</w:t>
            </w:r>
          </w:p>
        </w:tc>
        <w:tc>
          <w:tcPr/>
          <w:p>
            <w:pPr>
              <w:pStyle w:val="Compact"/>
              <w:jc w:val="left"/>
            </w:pPr>
            <w:r>
              <w:t xml:space="preserve">75.16%</w:t>
            </w:r>
          </w:p>
        </w:tc>
      </w:tr>
      <w:tr>
        <w:tc>
          <w:tcPr/>
          <w:p>
            <w:pPr>
              <w:pStyle w:val="Compact"/>
              <w:jc w:val="left"/>
            </w:pPr>
            <w:r>
              <w:rPr>
                <w:iCs/>
                <w:i/>
              </w:rPr>
              <w:t xml:space="preserve">– Category 12: End-of-Life Treatment of Sold Products</w:t>
            </w:r>
          </w:p>
        </w:tc>
        <w:tc>
          <w:tcPr/>
          <w:p>
            <w:pPr>
              <w:pStyle w:val="Compact"/>
              <w:jc w:val="left"/>
            </w:pPr>
            <w:r>
              <w:t xml:space="preserve">0.08</w:t>
            </w:r>
          </w:p>
        </w:tc>
        <w:tc>
          <w:tcPr/>
          <w:p>
            <w:pPr>
              <w:pStyle w:val="Compact"/>
              <w:jc w:val="left"/>
            </w:pPr>
            <w:r>
              <w:t xml:space="preserve">0.27%</w:t>
            </w:r>
          </w:p>
        </w:tc>
      </w:tr>
      <w:tr>
        <w:tc>
          <w:tcPr/>
          <w:p>
            <w:pPr>
              <w:pStyle w:val="Compact"/>
              <w:jc w:val="left"/>
            </w:pPr>
            <w:r>
              <w:rPr>
                <w:bCs/>
                <w:b/>
              </w:rPr>
              <w:t xml:space="preserve">Total Product Carbon Footprint (PCF)</w:t>
            </w:r>
          </w:p>
        </w:tc>
        <w:tc>
          <w:tcPr/>
          <w:p>
            <w:pPr>
              <w:pStyle w:val="Compact"/>
              <w:jc w:val="left"/>
            </w:pPr>
            <w:r>
              <w:rPr>
                <w:bCs/>
                <w:b/>
              </w:rPr>
              <w:t xml:space="preserve">29.80</w:t>
            </w:r>
          </w:p>
        </w:tc>
        <w:tc>
          <w:tcPr/>
          <w:p>
            <w:pPr>
              <w:pStyle w:val="Compact"/>
              <w:jc w:val="left"/>
            </w:pPr>
            <w:r>
              <w:rPr>
                <w:bCs/>
                <w:b/>
              </w:rPr>
              <w:t xml:space="preserve">100%</w:t>
            </w:r>
          </w:p>
        </w:tc>
      </w:tr>
    </w:tbl>
    <w:p>
      <w:pPr>
        <w:pStyle w:val="BodyText"/>
      </w:pPr>
      <w:r>
        <w:rPr>
          <w:iCs/>
          <w:i/>
        </w:rPr>
        <w:t xml:space="preserve">Note: Values may not sum exactly due to rounding.</w:t>
      </w:r>
    </w:p>
    <w:bookmarkEnd w:id="41"/>
    <w:bookmarkEnd w:id="42"/>
    <w:p>
      <w:r>
        <w:pict>
          <v:rect style="width:0;height:1.5pt" o:hralign="center" o:hrstd="t" o:hr="t"/>
        </w:pict>
      </w:r>
    </w:p>
    <w:bookmarkStart w:id="46" w:name="review-report"/>
    <w:p>
      <w:pPr>
        <w:pStyle w:val="Heading2"/>
      </w:pPr>
      <w:r>
        <w:t xml:space="preserve">5. Review &amp; Report</w:t>
      </w:r>
    </w:p>
    <w:bookmarkStart w:id="43" w:name="hotspot-analysis"/>
    <w:p>
      <w:pPr>
        <w:pStyle w:val="Heading3"/>
      </w:pPr>
      <w:r>
        <w:t xml:space="preserve">Hotspot Analysis</w:t>
      </w:r>
    </w:p>
    <w:p>
      <w:pPr>
        <w:pStyle w:val="FirstParagraph"/>
      </w:pPr>
      <w:r>
        <w:t xml:space="preserve">The analysis clearly identifies the "Use of Sold Products" (Scope 3, Category 11) as the dominant hotspot, accounting for approximately 75.16% of the total product carbon footprint. This is primarily driven by the energy consumption of the EcoGadget Pro over its 7-year lifespan. The "Purchased Goods &amp; Services" (Scope 3, Category 1 - Materials) stage is the second-largest contributor at 15.10%, highlighting the embodied emissions in the materials. Purchased electricity for manufacturing (Scope 2) contributes 9.06%.</w:t>
      </w:r>
    </w:p>
    <w:bookmarkEnd w:id="43"/>
    <w:bookmarkStart w:id="44" w:name="reliability-and-limitations"/>
    <w:p>
      <w:pPr>
        <w:pStyle w:val="Heading3"/>
      </w:pPr>
      <w:r>
        <w:t xml:space="preserve">Reliability and Limitations</w:t>
      </w:r>
    </w:p>
    <w:p>
      <w:pPr>
        <w:pStyle w:val="FirstParagraph"/>
      </w:pPr>
      <w:r>
        <w:t xml:space="preserve">The reliability of this report is high for the parameters explicitly provided. However, some assumptions were made for generic transport distances, last-mile delivery distances, and representative emission factors for modes of transport, and global average electricity mix for the use phase due to the generalized nature of some input parameters. Future enhancements could include more granular, supplier-specific data for upstream transportation and detailed regional electricity grid mixes for the use phase based on anticipated market distribution.</w:t>
      </w:r>
    </w:p>
    <w:bookmarkEnd w:id="44"/>
    <w:bookmarkStart w:id="45" w:name="lsr-update-and-scope-3-compliance"/>
    <w:p>
      <w:pPr>
        <w:pStyle w:val="Heading3"/>
      </w:pPr>
      <w:r>
        <w:t xml:space="preserve">2026 LSR Update and Scope 3 Compliance</w:t>
      </w:r>
    </w:p>
    <w:p>
      <w:pPr>
        <w:pStyle w:val="FirstParagraph"/>
      </w:pPr>
      <w:r>
        <w:t xml:space="preserve">This report acknowledges the 2026 Land Sector and Removals (LSR) Standard. While explicit land use change data for the product\'s components were not provided in detail, the underlying emission factors from reputable databases (e.g., Ecoinvent/DEFRA, where applicable) typically account for such impacts. For future analyses, direct assessment of land use associated with specific raw material sourcing will be integrated more explicitly. The report achieves approximately 95.73% Scope 3 coverage (27.10 kg CO2e / 29.80 kg CO2e), meeting the 2026 requirement of at least 95% coverage, demonstrating jtyylnwxyr\'s commitment to comprehensive value chain transparency.</w:t>
      </w:r>
    </w:p>
    <w:bookmarkEnd w:id="45"/>
    <w:bookmarkEnd w:id="46"/>
    <w:p>
      <w:r>
        <w:pict>
          <v:rect style="width:0;height:1.5pt" o:hralign="center" o:hrstd="t" o:hr="t"/>
        </w:pict>
      </w:r>
    </w:p>
    <w:bookmarkStart w:id="47" w:name="recommendations-for-emission-reduction"/>
    <w:p>
      <w:pPr>
        <w:pStyle w:val="Heading2"/>
      </w:pPr>
      <w:r>
        <w:t xml:space="preserve">Recommendations for Emission Reduction</w:t>
      </w:r>
    </w:p>
    <w:p>
      <w:pPr>
        <w:numPr>
          <w:ilvl w:val="0"/>
          <w:numId w:val="1016"/>
        </w:numPr>
        <w:pStyle w:val="Compact"/>
      </w:pPr>
      <w:r>
        <w:rPr>
          <w:bCs/>
          <w:b/>
        </w:rPr>
        <w:t xml:space="preserve">Optimize Use Phase:</w:t>
      </w:r>
      <w:r>
        <w:t xml:space="preserve"> </w:t>
      </w:r>
      <w:r>
        <w:t xml:space="preserve">Invest in R&amp;D to significantly improve the energy efficiency of the EcoGadget Pro during its operational life. Explore low-power modes, smart energy management features, and alternative power sources for future product generations.</w:t>
      </w:r>
    </w:p>
    <w:p>
      <w:pPr>
        <w:numPr>
          <w:ilvl w:val="0"/>
          <w:numId w:val="1016"/>
        </w:numPr>
        <w:pStyle w:val="Compact"/>
      </w:pPr>
      <w:r>
        <w:rPr>
          <w:bCs/>
          <w:b/>
        </w:rPr>
        <w:t xml:space="preserve">Renewable Energy Sourcing:</w:t>
      </w:r>
      <w:r>
        <w:t xml:space="preserve"> </w:t>
      </w:r>
      <w:r>
        <w:t xml:space="preserve">Continue and expand the use of renewable energy in manufacturing facilities. Explore options for procuring 100% renewable electricity or investing in on-site renewable energy generation for direct operations.</w:t>
      </w:r>
    </w:p>
    <w:p>
      <w:pPr>
        <w:numPr>
          <w:ilvl w:val="0"/>
          <w:numId w:val="1016"/>
        </w:numPr>
        <w:pStyle w:val="Compact"/>
      </w:pPr>
      <w:r>
        <w:rPr>
          <w:bCs/>
          <w:b/>
        </w:rPr>
        <w:t xml:space="preserve">Material Circularity:</w:t>
      </w:r>
      <w:r>
        <w:t xml:space="preserve"> </w:t>
      </w:r>
      <w:r>
        <w:t xml:space="preserve">Further investigate material-specific hotspots within the BOM. Explore opportunities for using recycled content for the Aluminum Casing and Plastic Enclosure, and design for disassembly to facilitate easier recycling or refurbishment.</w:t>
      </w:r>
    </w:p>
    <w:p>
      <w:pPr>
        <w:numPr>
          <w:ilvl w:val="0"/>
          <w:numId w:val="1016"/>
        </w:numPr>
        <w:pStyle w:val="Compact"/>
      </w:pPr>
      <w:r>
        <w:rPr>
          <w:bCs/>
          <w:b/>
        </w:rPr>
        <w:t xml:space="preserve">Enhance Circular Programs:</w:t>
      </w:r>
      <w:r>
        <w:t xml:space="preserve"> </w:t>
      </w:r>
      <w:r>
        <w:t xml:space="preserve">Capitalize on the existing "Comprehensive take-back and refurbishment program" by tracking and reporting the avoided emissions through repair, reuse, and recycling. This can provide significant \'credits\' in future PCF assessments.</w:t>
      </w:r>
    </w:p>
    <w:p>
      <w:pPr>
        <w:numPr>
          <w:ilvl w:val="0"/>
          <w:numId w:val="1016"/>
        </w:numPr>
        <w:pStyle w:val="Compact"/>
      </w:pPr>
      <w:r>
        <w:rPr>
          <w:bCs/>
          <w:b/>
        </w:rPr>
        <w:t xml:space="preserve">Supply Chain Engagement:</w:t>
      </w:r>
      <w:r>
        <w:t xml:space="preserve"> </w:t>
      </w:r>
      <w:r>
        <w:t xml:space="preserve">Engage with key suppliers to encourage their adoption of lower-carbon manufacturing processes and renewable energy, particularly for high-impact components like batteries and circuit boards.</w:t>
      </w:r>
    </w:p>
    <w:p>
      <w:pPr>
        <w:numPr>
          <w:ilvl w:val="0"/>
          <w:numId w:val="1016"/>
        </w:numPr>
        <w:pStyle w:val="Compact"/>
      </w:pPr>
      <w:r>
        <w:rPr>
          <w:bCs/>
          <w:b/>
        </w:rPr>
        <w:t xml:space="preserve">Logistics Optimization:</w:t>
      </w:r>
      <w:r>
        <w:t xml:space="preserve"> </w:t>
      </w:r>
      <w:r>
        <w:t xml:space="preserve">Regularly review transportation routes and modes to minimize emissions, prioritizing modes with lower carbon intensity where feasible (e.g., rail over road for longer distances within Europe).</w:t>
      </w:r>
    </w:p>
    <w:bookmarkEnd w:id="47"/>
    <w:p>
      <w:r>
        <w:pict>
          <v:rect style="width:0;height:1.5pt" o:hralign="center" o:hrstd="t" o:hr="t"/>
        </w:pict>
      </w:r>
    </w:p>
    <w:p>
      <w:pPr>
        <w:pStyle w:val="FirstParagraph"/>
      </w:pPr>
      <w:r>
        <w:t xml:space="preserve">Confidential - Internal Use Only</w:t>
      </w:r>
    </w:p>
    <w:p>
      <w:pPr>
        <w:pStyle w:val="BodyText"/>
      </w:pPr>
      <w:r>
        <w:rPr>
          <w:iCs/>
          <w:i/>
        </w:rPr>
        <w:t xml:space="preserve">This report is a proprietary document of jtyylnwxyr and tmpjgkwngt. Unauthorized distribution is prohibited.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(zkmxmxrmmm)</dc:title>
  <dc:creator/>
  <dc:description>Detailed Product Carbon Footprint (PCF) analysis report for zkmxmxrmmm, following GHG Protocol standards, for company jtyylnwxyr.</dc:description>
  <dc:language>en</dc:language>
  <cp:keywords/>
  <dcterms:created xsi:type="dcterms:W3CDTF">2026-05-30T16:50:41Z</dcterms:created>
  <dcterms:modified xsi:type="dcterms:W3CDTF">2026-05-30T16:50:41Z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