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r>
        <w:t xml:space="preserve"> </w:t>
      </w:r>
      <w:r>
        <w:t xml:space="preserve">(vnqrelnvrn)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EcoGadget Pro (vnqrelnvrn)</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ipxujhqjhu</w:t>
      </w:r>
    </w:p>
    <w:p>
      <w:pPr>
        <w:pStyle w:val="BodyText"/>
      </w:pPr>
      <w:r>
        <w:rPr>
          <w:bCs/>
          <w:b/>
        </w:rPr>
        <w:t xml:space="preserve">Senior Sustainability Consultant:</w:t>
      </w:r>
      <w:r>
        <w:t xml:space="preserve"> </w:t>
      </w:r>
      <w:r>
        <w:t xml:space="preserve">woffjqnmnt</w:t>
      </w:r>
    </w:p>
    <w:p>
      <w:pPr>
        <w:pStyle w:val="BodyText"/>
      </w:pPr>
      <w:r>
        <w:t xml:space="preserve">This report is generated based on available data and industry standards. While every effort has been made to ensure accuracy, actual emissions may vary due to specific operational nuances and evolving data.</w:t>
      </w:r>
    </w:p>
    <w:bookmarkEnd w:id="20"/>
    <w:bookmarkStart w:id="45"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"EcoGadget Pro" (vnqrelnvrn) manufactured by ipxujhqjhu. The analysis was conducted by woffjqnmnt, Senior Sustainability Consultant, adhering to the GHG Protocol and incorporating the 2026 Land Sector and Removals (LSR) Standard. The study adopts a comprehensive lifecycle assessment approach, spanning from raw material acquisition to end-of-life, to identify key emission hotspots and provide actionable insights for sustainability improvements. The total carbon footprint for one functional unit of EcoGadget Pro is calculated to be 74.08 kgCO2e.</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analysis follows a structured methodology to ensure accuracy and compliance with established standards.</w:t>
      </w:r>
    </w:p>
    <w:bookmarkStart w:id="22" w:name="methodology-to-follow"/>
    <w:p>
      <w:pPr>
        <w:pStyle w:val="Heading3"/>
      </w:pPr>
      <w:r>
        <w:t xml:space="preserve">1.1. Methodology to Follow</w:t>
      </w:r>
    </w:p>
    <w:p>
      <w:pPr>
        <w:numPr>
          <w:ilvl w:val="0"/>
          <w:numId w:val="1001"/>
        </w:numPr>
        <w:pStyle w:val="Compact"/>
      </w:pPr>
      <w:r>
        <w:rPr>
          <w:bCs/>
          <w:b/>
        </w:rPr>
        <w:t xml:space="preserve">Define Scope:</w:t>
      </w:r>
      <w:r>
        <w:t xml:space="preserve"> </w:t>
      </w:r>
      <w:r>
        <w:t xml:space="preserve">Functional unit, System boundaries, Geographic scope, Allocation.</w:t>
      </w:r>
    </w:p>
    <w:p>
      <w:pPr>
        <w:numPr>
          <w:ilvl w:val="0"/>
          <w:numId w:val="1001"/>
        </w:numPr>
        <w:pStyle w:val="Compact"/>
      </w:pPr>
      <w:r>
        <w:rPr>
          <w:bCs/>
          <w:b/>
        </w:rPr>
        <w:t xml:space="preserve">Map Lifecycle:</w:t>
      </w:r>
      <w:r>
        <w:t xml:space="preserve"> </w:t>
      </w:r>
      <w:r>
        <w:t xml:space="preserve">Lifecycle Inventory (LCI) stages.</w:t>
      </w:r>
    </w:p>
    <w:p>
      <w:pPr>
        <w:numPr>
          <w:ilvl w:val="0"/>
          <w:numId w:val="1001"/>
        </w:numPr>
        <w:pStyle w:val="Compact"/>
      </w:pPr>
      <w:r>
        <w:rPr>
          <w:bCs/>
          <w:b/>
        </w:rPr>
        <w:t xml:space="preserve">Collect Data:</w:t>
      </w:r>
      <w:r>
        <w:t xml:space="preserve"> </w:t>
      </w:r>
      <w:r>
        <w:t xml:space="preserve">Primary and Secondary data points.</w:t>
      </w:r>
    </w:p>
    <w:p>
      <w:pPr>
        <w:numPr>
          <w:ilvl w:val="0"/>
          <w:numId w:val="1001"/>
        </w:numPr>
        <w:pStyle w:val="Compact"/>
      </w:pPr>
      <w:r>
        <w:rPr>
          <w:bCs/>
          <w:b/>
        </w:rPr>
        <w:t xml:space="preserve">Calculate Emissions:</w:t>
      </w:r>
      <w:r>
        <w:t xml:space="preserve"> </w:t>
      </w:r>
      <w:r>
        <w:t xml:space="preserve">Activity * Emission Factor = CO2e.</w:t>
      </w:r>
    </w:p>
    <w:p>
      <w:pPr>
        <w:numPr>
          <w:ilvl w:val="0"/>
          <w:numId w:val="1001"/>
        </w:numPr>
        <w:pStyle w:val="Compact"/>
      </w:pPr>
      <w:r>
        <w:rPr>
          <w:bCs/>
          <w:b/>
        </w:rPr>
        <w:t xml:space="preserve">Review &amp; Report:</w:t>
      </w:r>
      <w:r>
        <w:t xml:space="preserve"> </w:t>
      </w:r>
      <w:r>
        <w:t xml:space="preserve">Hotspots and reliability.</w:t>
      </w:r>
    </w:p>
    <w:bookmarkEnd w:id="22"/>
    <w:bookmarkStart w:id="23" w:name="accounting-standard-and-protocols"/>
    <w:p>
      <w:pPr>
        <w:pStyle w:val="Heading3"/>
      </w:pPr>
      <w:r>
        <w:t xml:space="preserve">1.2. Accounting Standard and Protocols</w:t>
      </w:r>
    </w:p>
    <w:p>
      <w:pPr>
        <w:pStyle w:val="FirstParagraph"/>
      </w:pPr>
      <w:r>
        <w:t xml:space="preserve">This analysis strictly adheres to the</w:t>
      </w:r>
      <w:r>
        <w:t xml:space="preserve"> </w:t>
      </w:r>
      <w:r>
        <w:rPr>
          <w:bCs/>
          <w:b/>
        </w:rPr>
        <w:t xml:space="preserve">GHG Protocol</w:t>
      </w:r>
      <w:r>
        <w:t xml:space="preserve">, categorizing emissions into Scope 1 (direct), Scope 2 (purchased energy), and Scope 3 (value chain). The analysis also applies the</w:t>
      </w:r>
      <w:r>
        <w:t xml:space="preserve"> </w:t>
      </w:r>
      <w:r>
        <w:rPr>
          <w:bCs/>
          <w:b/>
        </w:rPr>
        <w:t xml:space="preserve">2026 Land Sector and Removals (LSR) Standard</w:t>
      </w:r>
      <w:r>
        <w:t xml:space="preserve"> </w:t>
      </w:r>
      <w:r>
        <w:t xml:space="preserve">for considering land use and carbon removals, particularly in end-of-life scenarios. Special attention has been given to achieving at least 95% coverage for Scope 3 reporting, as per 2026 requirements, to ensure a comprehensive assessment of the value chain.</w:t>
      </w:r>
    </w:p>
    <w:bookmarkEnd w:id="23"/>
    <w:bookmarkStart w:id="24" w:name="product-definition-and-functional-unit"/>
    <w:p>
      <w:pPr>
        <w:pStyle w:val="Heading3"/>
      </w:pPr>
      <w:r>
        <w:t xml:space="preserve">1.3. Product Definition and Functional Unit</w:t>
      </w:r>
    </w:p>
    <w:p>
      <w:pPr>
        <w:numPr>
          <w:ilvl w:val="0"/>
          <w:numId w:val="1002"/>
        </w:numPr>
        <w:pStyle w:val="Compact"/>
      </w:pPr>
      <w:r>
        <w:rPr>
          <w:bCs/>
          <w:b/>
        </w:rPr>
        <w:t xml:space="preserve">Product Name:</w:t>
      </w:r>
      <w:r>
        <w:t xml:space="preserve"> </w:t>
      </w:r>
      <w:r>
        <w:t xml:space="preserve">EcoGadget Pro (vnqrelnvrn)</w:t>
      </w:r>
    </w:p>
    <w:p>
      <w:pPr>
        <w:numPr>
          <w:ilvl w:val="0"/>
          <w:numId w:val="1002"/>
        </w:numPr>
        <w:pStyle w:val="Compact"/>
      </w:pPr>
      <w:r>
        <w:rPr>
          <w:bCs/>
          <w:b/>
        </w:rPr>
        <w:t xml:space="preserve">Company Name:</w:t>
      </w:r>
      <w:r>
        <w:t xml:space="preserve"> </w:t>
      </w:r>
      <w:r>
        <w:t xml:space="preserve">ipxujhqjhu</w:t>
      </w:r>
    </w:p>
    <w:p>
      <w:pPr>
        <w:numPr>
          <w:ilvl w:val="0"/>
          <w:numId w:val="1002"/>
        </w:numPr>
        <w:pStyle w:val="Compact"/>
      </w:pPr>
      <w:r>
        <w:rPr>
          <w:bCs/>
          <w:b/>
        </w:rPr>
        <w:t xml:space="preserve">Senior Sustainability Consultant:</w:t>
      </w:r>
      <w:r>
        <w:t xml:space="preserve"> </w:t>
      </w:r>
      <w:r>
        <w:t xml:space="preserve">woffjqnmnt</w:t>
      </w:r>
    </w:p>
    <w:p>
      <w:pPr>
        <w:numPr>
          <w:ilvl w:val="0"/>
          <w:numId w:val="1002"/>
        </w:numPr>
        <w:pStyle w:val="Compact"/>
      </w:pPr>
      <w:r>
        <w:rPr>
          <w:bCs/>
          <w:b/>
        </w:rPr>
        <w:t xml:space="preserve">Functional Unit:</w:t>
      </w:r>
      <w:r>
        <w:t xml:space="preserve"> </w:t>
      </w:r>
      <w:r>
        <w:t xml:space="preserve">1.0 unit of EcoGadget Pro</w:t>
      </w:r>
    </w:p>
    <w:bookmarkEnd w:id="24"/>
    <w:bookmarkStart w:id="25" w:name="system-boundary-and-geographic-scope"/>
    <w:p>
      <w:pPr>
        <w:pStyle w:val="Heading3"/>
      </w:pPr>
      <w:r>
        <w:t xml:space="preserve">1.4. System Boundary and Geographic Scope</w:t>
      </w:r>
    </w:p>
    <w:p>
      <w:pPr>
        <w:pStyle w:val="FirstParagraph"/>
      </w:pPr>
      <w:r>
        <w:t xml:space="preserve">While the primary system boundary for ipxujhqjhu\'s direct PCF accounting is defined as "factory_gate", this report provides a more comprehensive "cradle-to-grave" analysis for the product "EcoGadget Pro" to meet all specified parameters, including use phase, downstream transport, and end-of-life scenarios. The geographic scope focuses on a Final Production Country of China, with a Supply Chain Focus predominantly on Europe for downstream distribution and use. Upstream supply chains for materials are assumed to originate from various global locations, consolidating in China for production.</w:t>
      </w:r>
    </w:p>
    <w:p>
      <w:r>
        <w:pict>
          <v:rect style="width:0;height:1.5pt" o:hralign="center" o:hrstd="t" o:hr="t"/>
        </w:pict>
      </w:r>
    </w:p>
    <w:bookmarkEnd w:id="25"/>
    <w:bookmarkEnd w:id="26"/>
    <w:bookmarkStart w:id="33" w:name="X499aa382d37d6bb6c3ce242350df022e68917f3"/>
    <w:p>
      <w:pPr>
        <w:pStyle w:val="Heading2"/>
      </w:pPr>
      <w:r>
        <w:t xml:space="preserve">2. Lifecycle Inventory Stages &amp; Data Collection</w:t>
      </w:r>
    </w:p>
    <w:p>
      <w:pPr>
        <w:pStyle w:val="FirstParagraph"/>
      </w:pPr>
      <w:r>
        <w:t xml:space="preserve">This section details the various lifecycle stages considered and the data points collected or assumed for the analysis.</w:t>
      </w:r>
    </w:p>
    <w:bookmarkStart w:id="28" w:name="Xc70fd7dde14713a45006123e76ee34511015a0c"/>
    <w:p>
      <w:pPr>
        <w:pStyle w:val="Heading3"/>
      </w:pPr>
      <w:r>
        <w:t xml:space="preserve">2.1. Materials Acquisition and Pre-processing (Scope 3 - Upstream)</w:t>
      </w:r>
    </w:p>
    <w:p>
      <w:pPr>
        <w:pStyle w:val="FirstParagraph"/>
      </w:pPr>
      <w:r>
        <w:t xml:space="preserve">The material impact is calculated using the provided Detailed Bill of Materials (BOM) for high accuracy. The \'Total Carbon\' values from the BOM are directly utilized to represent the emissions associated with raw material extraction, processing, and manufacturing for each component.</w:t>
      </w:r>
    </w:p>
    <w:bookmarkStart w:id="27" w:name="detailed-bill-of-materials-bom-data"/>
    <w:p>
      <w:pPr>
        <w:pStyle w:val="Heading4"/>
      </w:pPr>
      <w:r>
        <w:t xml:space="preserve">Detailed Bill of Materials (BOM)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002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003</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004</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w:t>
            </w:r>
          </w:p>
        </w:tc>
      </w:tr>
      <w:tr>
        <w:tc>
          <w:tcPr>
            <w:gridSpan w:val="7"/>
          </w:tcPr>
          <w:p>
            <w:pPr>
              <w:pStyle w:val="Compact"/>
              <w:jc w:val="right"/>
            </w:pPr>
            <w:r>
              <w:t xml:space="preserve">Total Material Carbon Impact:</w:t>
            </w:r>
          </w:p>
        </w:tc>
        <w:tc>
          <w:tcPr/>
          <w:p>
            <w:pPr>
              <w:pStyle w:val="Compact"/>
              <w:jc w:val="left"/>
            </w:pPr>
            <w:r>
              <w:t xml:space="preserve">8.6 kgCO2e</w:t>
            </w:r>
          </w:p>
        </w:tc>
      </w:tr>
    </w:tbl>
    <w:p>
      <w:pPr>
        <w:pStyle w:val="BodyText"/>
      </w:pPr>
      <w:r>
        <w:t xml:space="preserve">Total product mass for transport calculations: 0.85 kg.</w:t>
      </w:r>
    </w:p>
    <w:bookmarkEnd w:id="27"/>
    <w:bookmarkEnd w:id="28"/>
    <w:bookmarkStart w:id="29" w:name="production-phase-scope-1-2"/>
    <w:p>
      <w:pPr>
        <w:pStyle w:val="Heading3"/>
      </w:pPr>
      <w:r>
        <w:t xml:space="preserve">2.2. Production Phase (Scope 1 &amp; 2)</w:t>
      </w:r>
    </w:p>
    <w:p>
      <w:pPr>
        <w:pStyle w:val="FirstParagraph"/>
      </w:pPr>
      <w:r>
        <w:t xml:space="preserve">This phase covers the manufacturing of EcoGadget Pro at ipxujhqjhu\'s facilities in China. Direct emissions (Scope 1) from on-site fuel combustion are assumed negligible at the product level if not explicitly provided, focusing primarily on purchased electricity. Emissions from purchased electricity fall under Scope 2.</w:t>
      </w:r>
    </w:p>
    <w:p>
      <w:pPr>
        <w:numPr>
          <w:ilvl w:val="0"/>
          <w:numId w:val="1003"/>
        </w:numPr>
        <w:pStyle w:val="Compact"/>
      </w:pPr>
      <w:r>
        <w:rPr>
          <w:bCs/>
          <w:b/>
        </w:rPr>
        <w:t xml:space="preserve">Energy Intensity (kWh/unit):</w:t>
      </w:r>
      <w:r>
        <w:t xml:space="preserve"> </w:t>
      </w:r>
      <w:r>
        <w:t xml:space="preserve">wxxnpdoxwm (Assumed: 25 kWh/unit)</w:t>
      </w:r>
    </w:p>
    <w:p>
      <w:pPr>
        <w:numPr>
          <w:ilvl w:val="0"/>
          <w:numId w:val="1003"/>
        </w:numPr>
        <w:pStyle w:val="Compact"/>
      </w:pPr>
      <w:r>
        <w:rPr>
          <w:bCs/>
          <w:b/>
        </w:rPr>
        <w:t xml:space="preserve">Renewable Energy Usage:</w:t>
      </w:r>
      <w:r>
        <w:t xml:space="preserve"> </w:t>
      </w:r>
      <w:r>
        <w:t xml:space="preserve">wrgwwnxzrw (Assumed: 40%)</w:t>
      </w:r>
    </w:p>
    <w:p>
      <w:pPr>
        <w:numPr>
          <w:ilvl w:val="0"/>
          <w:numId w:val="1003"/>
        </w:numPr>
        <w:pStyle w:val="Compact"/>
      </w:pPr>
      <w:r>
        <w:rPr>
          <w:bCs/>
          <w:b/>
        </w:rPr>
        <w:t xml:space="preserve">Non-renewable electricity consumed:</w:t>
      </w:r>
      <w:r>
        <w:t xml:space="preserve"> </w:t>
      </w:r>
      <w:r>
        <w:t xml:space="preserve">25 kWh/unit * (1 - 0.40) = 15 kWh/unit</w:t>
      </w:r>
    </w:p>
    <w:p>
      <w:pPr>
        <w:numPr>
          <w:ilvl w:val="0"/>
          <w:numId w:val="1003"/>
        </w:numPr>
        <w:pStyle w:val="Compact"/>
      </w:pPr>
      <w:r>
        <w:rPr>
          <w:bCs/>
          <w:b/>
        </w:rPr>
        <w:t xml:space="preserve">China Electricity Grid Emission Factor:</w:t>
      </w:r>
      <w:r>
        <w:t xml:space="preserve"> </w:t>
      </w:r>
      <w:r>
        <w:t xml:space="preserve">0.6205 kgCO2e/kWh (2023 data)</w:t>
      </w:r>
    </w:p>
    <w:bookmarkEnd w:id="29"/>
    <w:bookmarkStart w:id="30" w:name="transport-scope-3---upstream-downstream"/>
    <w:p>
      <w:pPr>
        <w:pStyle w:val="Heading3"/>
      </w:pPr>
      <w:r>
        <w:t xml:space="preserve">2.3. Transport (Scope 3 - Upstream &amp; Downstream)</w:t>
      </w:r>
    </w:p>
    <w:p>
      <w:pPr>
        <w:pStyle w:val="FirstParagraph"/>
      </w:pPr>
      <w:r>
        <w:t xml:space="preserve">Logistics data has been incorporated for both upstream (to factory) and downstream (from factory to customer) movements, covering Category 4 and 9 of GHG Protocol Scope 3.</w:t>
      </w:r>
    </w:p>
    <w:p>
      <w:pPr>
        <w:numPr>
          <w:ilvl w:val="0"/>
          <w:numId w:val="1004"/>
        </w:numPr>
        <w:pStyle w:val="Compact"/>
      </w:pPr>
      <w:r>
        <w:rPr>
          <w:bCs/>
          <w:b/>
        </w:rPr>
        <w:t xml:space="preserve">Upstream Transport (Components to China Factory):</w:t>
      </w:r>
    </w:p>
    <w:p>
      <w:pPr>
        <w:numPr>
          <w:ilvl w:val="1"/>
          <w:numId w:val="1005"/>
        </w:numPr>
        <w:pStyle w:val="Compact"/>
      </w:pPr>
      <w:r>
        <w:rPr>
          <w:bCs/>
          <w:b/>
        </w:rPr>
        <w:t xml:space="preserve">Mode:</w:t>
      </w:r>
      <w:r>
        <w:t xml:space="preserve"> </w:t>
      </w:r>
      <w:r>
        <w:t xml:space="preserve">Select Mode (Assumed: Road Freight - Heavy Goods Vehicle)</w:t>
      </w:r>
    </w:p>
    <w:p>
      <w:pPr>
        <w:numPr>
          <w:ilvl w:val="1"/>
          <w:numId w:val="1005"/>
        </w:numPr>
        <w:pStyle w:val="Compact"/>
      </w:pPr>
      <w:r>
        <w:rPr>
          <w:bCs/>
          <w:b/>
        </w:rPr>
        <w:t xml:space="preserve">Distance (wysrrslenq):</w:t>
      </w:r>
      <w:r>
        <w:t xml:space="preserve"> </w:t>
      </w:r>
      <w:r>
        <w:t xml:space="preserve">1500 km</w:t>
      </w:r>
    </w:p>
    <w:p>
      <w:pPr>
        <w:numPr>
          <w:ilvl w:val="1"/>
          <w:numId w:val="1005"/>
        </w:numPr>
        <w:pStyle w:val="Compact"/>
      </w:pPr>
      <w:r>
        <w:rPr>
          <w:bCs/>
          <w:b/>
        </w:rPr>
        <w:t xml:space="preserve">Emission Factor:</w:t>
      </w:r>
      <w:r>
        <w:t xml:space="preserve"> </w:t>
      </w:r>
      <w:r>
        <w:t xml:space="preserve">0.1 kgCO2e/tkm (Road Freight HGV)</w:t>
      </w:r>
    </w:p>
    <w:p>
      <w:pPr>
        <w:numPr>
          <w:ilvl w:val="1"/>
          <w:numId w:val="1005"/>
        </w:numPr>
        <w:pStyle w:val="Compact"/>
      </w:pPr>
      <w:r>
        <w:rPr>
          <w:bCs/>
          <w:b/>
        </w:rPr>
        <w:t xml:space="preserve">Calculated Emissions:</w:t>
      </w:r>
      <w:r>
        <w:t xml:space="preserve"> </w:t>
      </w:r>
      <w:r>
        <w:t xml:space="preserve">(0.85 kg / 1000 kg/tonne) * 1500 km * 0.1 kgCO2e/tkm = 12.75 kgCO2e</w:t>
      </w:r>
    </w:p>
    <w:p>
      <w:pPr>
        <w:numPr>
          <w:ilvl w:val="0"/>
          <w:numId w:val="1004"/>
        </w:numPr>
        <w:pStyle w:val="Compact"/>
      </w:pPr>
      <w:r>
        <w:rPr>
          <w:bCs/>
          <w:b/>
        </w:rPr>
        <w:t xml:space="preserve">Downstream Transport (Finished Product from China Factory to European Distribution Hub):</w:t>
      </w:r>
    </w:p>
    <w:p>
      <w:pPr>
        <w:numPr>
          <w:ilvl w:val="1"/>
          <w:numId w:val="1006"/>
        </w:numPr>
        <w:pStyle w:val="Compact"/>
      </w:pPr>
      <w:r>
        <w:rPr>
          <w:bCs/>
          <w:b/>
        </w:rPr>
        <w:t xml:space="preserve">Mode:</w:t>
      </w:r>
      <w:r>
        <w:t xml:space="preserve"> </w:t>
      </w:r>
      <w:r>
        <w:t xml:space="preserve">Assumed Ocean Freight (to Europe, given "Europe Focused" supply chain)</w:t>
      </w:r>
    </w:p>
    <w:p>
      <w:pPr>
        <w:numPr>
          <w:ilvl w:val="1"/>
          <w:numId w:val="1006"/>
        </w:numPr>
        <w:pStyle w:val="Compact"/>
      </w:pPr>
      <w:r>
        <w:rPr>
          <w:bCs/>
          <w:b/>
        </w:rPr>
        <w:t xml:space="preserve">Assumed Distance:</w:t>
      </w:r>
      <w:r>
        <w:t xml:space="preserve"> </w:t>
      </w:r>
      <w:r>
        <w:t xml:space="preserve">10,000 km</w:t>
      </w:r>
    </w:p>
    <w:p>
      <w:pPr>
        <w:numPr>
          <w:ilvl w:val="1"/>
          <w:numId w:val="1006"/>
        </w:numPr>
        <w:pStyle w:val="Compact"/>
      </w:pPr>
      <w:r>
        <w:rPr>
          <w:bCs/>
          <w:b/>
        </w:rPr>
        <w:t xml:space="preserve">Assumed Emission Factor:</w:t>
      </w:r>
      <w:r>
        <w:t xml:space="preserve"> </w:t>
      </w:r>
      <w:r>
        <w:t xml:space="preserve">0.01 kgCO2e/tkm (Ocean Freight)</w:t>
      </w:r>
    </w:p>
    <w:p>
      <w:pPr>
        <w:numPr>
          <w:ilvl w:val="1"/>
          <w:numId w:val="1006"/>
        </w:numPr>
        <w:pStyle w:val="Compact"/>
      </w:pPr>
      <w:r>
        <w:rPr>
          <w:bCs/>
          <w:b/>
        </w:rPr>
        <w:t xml:space="preserve">Calculated Emissions:</w:t>
      </w:r>
      <w:r>
        <w:t xml:space="preserve"> </w:t>
      </w:r>
      <w:r>
        <w:t xml:space="preserve">(0.85 kg / 1000 kg/tonne) * 10,000 km * 0.01 kgCO2e/tkm = 0.085 kgCO2e</w:t>
      </w:r>
    </w:p>
    <w:p>
      <w:pPr>
        <w:numPr>
          <w:ilvl w:val="0"/>
          <w:numId w:val="1004"/>
        </w:numPr>
        <w:pStyle w:val="Compact"/>
      </w:pPr>
      <w:r>
        <w:rPr>
          <w:bCs/>
          <w:b/>
        </w:rPr>
        <w:t xml:space="preserve">Last-Mile Delivery (within Europe to Customer):</w:t>
      </w:r>
    </w:p>
    <w:p>
      <w:pPr>
        <w:numPr>
          <w:ilvl w:val="1"/>
          <w:numId w:val="1007"/>
        </w:numPr>
        <w:pStyle w:val="Compact"/>
      </w:pPr>
      <w:r>
        <w:rPr>
          <w:bCs/>
          <w:b/>
        </w:rPr>
        <w:t xml:space="preserve">Channel:</w:t>
      </w:r>
      <w:r>
        <w:t xml:space="preserve"> </w:t>
      </w:r>
      <w:r>
        <w:t xml:space="preserve">Delivery Type (Assumed: Light Commercial Van)</w:t>
      </w:r>
    </w:p>
    <w:p>
      <w:pPr>
        <w:numPr>
          <w:ilvl w:val="1"/>
          <w:numId w:val="1007"/>
        </w:numPr>
        <w:pStyle w:val="Compact"/>
      </w:pPr>
      <w:r>
        <w:rPr>
          <w:bCs/>
          <w:b/>
        </w:rPr>
        <w:t xml:space="preserve">Assumed Distance:</w:t>
      </w:r>
      <w:r>
        <w:t xml:space="preserve"> </w:t>
      </w:r>
      <w:r>
        <w:t xml:space="preserve">100 km</w:t>
      </w:r>
    </w:p>
    <w:p>
      <w:pPr>
        <w:numPr>
          <w:ilvl w:val="1"/>
          <w:numId w:val="1007"/>
        </w:numPr>
        <w:pStyle w:val="Compact"/>
      </w:pPr>
      <w:r>
        <w:rPr>
          <w:bCs/>
          <w:b/>
        </w:rPr>
        <w:t xml:space="preserve">Emission Factor:</w:t>
      </w:r>
      <w:r>
        <w:t xml:space="preserve"> </w:t>
      </w:r>
      <w:r>
        <w:t xml:space="preserve">0.25 kgCO2e/km (Light Commercial Van)</w:t>
      </w:r>
    </w:p>
    <w:p>
      <w:pPr>
        <w:numPr>
          <w:ilvl w:val="1"/>
          <w:numId w:val="1007"/>
        </w:numPr>
        <w:pStyle w:val="Compact"/>
      </w:pPr>
      <w:r>
        <w:rPr>
          <w:bCs/>
          <w:b/>
        </w:rPr>
        <w:t xml:space="preserve">Calculated Emissions:</w:t>
      </w:r>
      <w:r>
        <w:t xml:space="preserve"> </w:t>
      </w:r>
      <w:r>
        <w:t xml:space="preserve">100 km * 0.25 kgCO2e/km = 25.0 kgCO2e</w:t>
      </w:r>
    </w:p>
    <w:bookmarkEnd w:id="30"/>
    <w:bookmarkStart w:id="31" w:name="use-phase-scope-3---downstream"/>
    <w:p>
      <w:pPr>
        <w:pStyle w:val="Heading3"/>
      </w:pPr>
      <w:r>
        <w:t xml:space="preserve">2.4. Use Phase (Scope 3 - Downstream)</w:t>
      </w:r>
    </w:p>
    <w:p>
      <w:pPr>
        <w:pStyle w:val="FirstParagraph"/>
      </w:pPr>
      <w:r>
        <w:t xml:space="preserve">The use phase calculation reflects the energy consumption during the product\'s lifespan.</w:t>
      </w:r>
    </w:p>
    <w:p>
      <w:pPr>
        <w:numPr>
          <w:ilvl w:val="0"/>
          <w:numId w:val="1008"/>
        </w:numPr>
        <w:pStyle w:val="Compact"/>
      </w:pPr>
      <w:r>
        <w:rPr>
          <w:bCs/>
          <w:b/>
        </w:rPr>
        <w:t xml:space="preserve">Product Lifespan (hjiqkxxsdx):</w:t>
      </w:r>
      <w:r>
        <w:t xml:space="preserve"> </w:t>
      </w:r>
      <w:r>
        <w:t xml:space="preserve">7 years</w:t>
      </w:r>
    </w:p>
    <w:p>
      <w:pPr>
        <w:numPr>
          <w:ilvl w:val="0"/>
          <w:numId w:val="1008"/>
        </w:numPr>
        <w:pStyle w:val="Compact"/>
      </w:pPr>
      <w:r>
        <w:rPr>
          <w:bCs/>
          <w:b/>
        </w:rPr>
        <w:t xml:space="preserve">Energy Consumption in Use (mzioxzjnnu):</w:t>
      </w:r>
      <w:r>
        <w:t xml:space="preserve"> </w:t>
      </w:r>
      <w:r>
        <w:t xml:space="preserve">15 kWh/year</w:t>
      </w:r>
    </w:p>
    <w:p>
      <w:pPr>
        <w:numPr>
          <w:ilvl w:val="0"/>
          <w:numId w:val="1008"/>
        </w:numPr>
        <w:pStyle w:val="Compact"/>
      </w:pPr>
      <w:r>
        <w:rPr>
          <w:bCs/>
          <w:b/>
        </w:rPr>
        <w:t xml:space="preserve">Total Energy in Use:</w:t>
      </w:r>
      <w:r>
        <w:t xml:space="preserve"> </w:t>
      </w:r>
      <w:r>
        <w:t xml:space="preserve">15 kWh/year * 7 years = 105 kWh</w:t>
      </w:r>
    </w:p>
    <w:p>
      <w:pPr>
        <w:numPr>
          <w:ilvl w:val="0"/>
          <w:numId w:val="1008"/>
        </w:numPr>
        <w:pStyle w:val="Compact"/>
      </w:pPr>
      <w:r>
        <w:rPr>
          <w:bCs/>
          <w:b/>
        </w:rPr>
        <w:t xml:space="preserve">European Electricity Grid Emission Factor (average for use phase):</w:t>
      </w:r>
      <w:r>
        <w:t xml:space="preserve"> </w:t>
      </w:r>
      <w:r>
        <w:t xml:space="preserve">0.181 kgCO2e/kWh (2024 data)</w:t>
      </w:r>
    </w:p>
    <w:bookmarkEnd w:id="31"/>
    <w:bookmarkStart w:id="32" w:name="X2449e76f36fce2c9fec3c701a472f020b80894d"/>
    <w:p>
      <w:pPr>
        <w:pStyle w:val="Heading3"/>
      </w:pPr>
      <w:r>
        <w:t xml:space="preserve">2.5. End-of-Life (EoL) Scenarios (Scope 3 - Downstream)</w:t>
      </w:r>
    </w:p>
    <w:p>
      <w:pPr>
        <w:pStyle w:val="FirstParagraph"/>
      </w:pPr>
      <w:r>
        <w:t xml:space="preserve">End-of-life impacts are assessed considering recyclability and circular economy programs, applying the LSR Standard for potential carbon removals/credits.</w:t>
      </w:r>
    </w:p>
    <w:p>
      <w:pPr>
        <w:numPr>
          <w:ilvl w:val="0"/>
          <w:numId w:val="1009"/>
        </w:numPr>
        <w:pStyle w:val="Compact"/>
      </w:pPr>
      <w:r>
        <w:rPr>
          <w:bCs/>
          <w:b/>
        </w:rPr>
        <w:t xml:space="preserve">Recyclability Percentage (jkgrnyrgrp):</w:t>
      </w:r>
      <w:r>
        <w:t xml:space="preserve"> </w:t>
      </w:r>
      <w:r>
        <w:t xml:space="preserve">60%</w:t>
      </w:r>
    </w:p>
    <w:p>
      <w:pPr>
        <w:numPr>
          <w:ilvl w:val="0"/>
          <w:numId w:val="1009"/>
        </w:numPr>
        <w:pStyle w:val="Compact"/>
      </w:pPr>
      <w:r>
        <w:rPr>
          <w:bCs/>
          <w:b/>
        </w:rPr>
        <w:t xml:space="preserve">Non-recycled portion:</w:t>
      </w:r>
      <w:r>
        <w:t xml:space="preserve"> </w:t>
      </w:r>
      <w:r>
        <w:t xml:space="preserve">40% (assumed to landfill)</w:t>
      </w:r>
    </w:p>
    <w:p>
      <w:pPr>
        <w:numPr>
          <w:ilvl w:val="0"/>
          <w:numId w:val="1009"/>
        </w:numPr>
        <w:pStyle w:val="Compact"/>
      </w:pPr>
      <w:r>
        <w:rPr>
          <w:bCs/>
          <w:b/>
        </w:rPr>
        <w:t xml:space="preserve">Product Mass:</w:t>
      </w:r>
      <w:r>
        <w:t xml:space="preserve"> </w:t>
      </w:r>
      <w:r>
        <w:t xml:space="preserve">0.85 kg</w:t>
      </w:r>
    </w:p>
    <w:p>
      <w:pPr>
        <w:numPr>
          <w:ilvl w:val="0"/>
          <w:numId w:val="1009"/>
        </w:numPr>
        <w:pStyle w:val="Compact"/>
      </w:pPr>
      <w:r>
        <w:rPr>
          <w:bCs/>
          <w:b/>
        </w:rPr>
        <w:t xml:space="preserve">Landfill Emission Factor (for mixed residual waste):</w:t>
      </w:r>
      <w:r>
        <w:t xml:space="preserve"> </w:t>
      </w:r>
      <w:r>
        <w:t xml:space="preserve">0.3 kgCO2e/kg</w:t>
      </w:r>
    </w:p>
    <w:p>
      <w:pPr>
        <w:numPr>
          <w:ilvl w:val="0"/>
          <w:numId w:val="1009"/>
        </w:numPr>
        <w:pStyle w:val="Compact"/>
      </w:pPr>
      <w:r>
        <w:rPr>
          <w:bCs/>
          <w:b/>
        </w:rPr>
        <w:t xml:space="preserve">Recycling Credit Emission Factor (for avoided virgin material production):</w:t>
      </w:r>
      <w:r>
        <w:t xml:space="preserve"> </w:t>
      </w:r>
      <w:r>
        <w:t xml:space="preserve">-1.5 kgCO2e/kg (average for mixed materials)</w:t>
      </w:r>
    </w:p>
    <w:p>
      <w:pPr>
        <w:numPr>
          <w:ilvl w:val="0"/>
          <w:numId w:val="1009"/>
        </w:numPr>
        <w:pStyle w:val="Compact"/>
      </w:pPr>
      <w:r>
        <w:rPr>
          <w:bCs/>
          <w:b/>
        </w:rPr>
        <w:t xml:space="preserve">Circular/Take-back Programs (hsfusgvgkk):</w:t>
      </w:r>
      <w:r>
        <w:t xml:space="preserve"> </w:t>
      </w:r>
      <w:r>
        <w:t xml:space="preserve">ipxujhqjhu operates a "Company-wide product take-back and refurbishment program in key markets," which positively influences EoL outcomes by increasing material recovery and reuse, thus reducing primary resource demand. This is reflected in the recycling credit calculation.</w:t>
      </w:r>
    </w:p>
    <w:p>
      <w:r>
        <w:pict>
          <v:rect style="width:0;height:1.5pt" o:hralign="center" o:hrstd="t" o:hr="t"/>
        </w:pict>
      </w:r>
    </w:p>
    <w:bookmarkEnd w:id="32"/>
    <w:bookmarkEnd w:id="33"/>
    <w:bookmarkStart w:id="40" w:name="Xdd1c2ba429305467bad58a0828410d9d0fce25c"/>
    <w:p>
      <w:pPr>
        <w:pStyle w:val="Heading2"/>
      </w:pPr>
      <w:r>
        <w:t xml:space="preserve">3. Emissions Calculation (Activity * Emission Factor = CO2e)</w:t>
      </w:r>
    </w:p>
    <w:p>
      <w:pPr>
        <w:pStyle w:val="FirstParagraph"/>
      </w:pPr>
      <w:r>
        <w:t xml:space="preserve">Emissions are categorized according to the GHG Protocol. Industry-standard emission factors from sources such as IEA, BEIS/Defra, and EPA have been used.</w:t>
      </w:r>
    </w:p>
    <w:bookmarkStart w:id="34" w:name="scope-1-direct-emissions"/>
    <w:p>
      <w:pPr>
        <w:pStyle w:val="Heading3"/>
      </w:pPr>
      <w:r>
        <w:t xml:space="preserve">3.1. Scope 1: Direct Emissions</w:t>
      </w:r>
    </w:p>
    <w:p>
      <w:pPr>
        <w:numPr>
          <w:ilvl w:val="0"/>
          <w:numId w:val="1010"/>
        </w:numPr>
        <w:pStyle w:val="Compact"/>
      </w:pPr>
      <w:r>
        <w:rPr>
          <w:bCs/>
          <w:b/>
        </w:rPr>
        <w:t xml:space="preserve">Calculated Emissions:</w:t>
      </w:r>
      <w:r>
        <w:t xml:space="preserve"> </w:t>
      </w:r>
      <w:r>
        <w:t xml:space="preserve">0.0 kgCO2e/unit (Assumed negligible at the product level without specific operational data).</w:t>
      </w:r>
    </w:p>
    <w:bookmarkEnd w:id="34"/>
    <w:bookmarkStart w:id="35" w:name="scope-2-purchased-energy-emissions"/>
    <w:p>
      <w:pPr>
        <w:pStyle w:val="Heading3"/>
      </w:pPr>
      <w:r>
        <w:t xml:space="preserve">3.2. Scope 2: Purchased Energy Emissions</w:t>
      </w:r>
    </w:p>
    <w:p>
      <w:pPr>
        <w:numPr>
          <w:ilvl w:val="0"/>
          <w:numId w:val="1011"/>
        </w:numPr>
        <w:pStyle w:val="Compact"/>
      </w:pPr>
      <w:r>
        <w:rPr>
          <w:bCs/>
          <w:b/>
        </w:rPr>
        <w:t xml:space="preserve">Activity:</w:t>
      </w:r>
      <w:r>
        <w:t xml:space="preserve"> </w:t>
      </w:r>
      <w:r>
        <w:t xml:space="preserve">Production Electricity Consumption (Non-renewable portion)</w:t>
      </w:r>
    </w:p>
    <w:p>
      <w:pPr>
        <w:numPr>
          <w:ilvl w:val="0"/>
          <w:numId w:val="1011"/>
        </w:numPr>
        <w:pStyle w:val="Compact"/>
      </w:pPr>
      <w:r>
        <w:rPr>
          <w:bCs/>
          <w:b/>
        </w:rPr>
        <w:t xml:space="preserve">Emission Factor:</w:t>
      </w:r>
      <w:r>
        <w:t xml:space="preserve"> </w:t>
      </w:r>
      <w:r>
        <w:t xml:space="preserve">China Electricity Grid EF (0.6205 kgCO2e/kWh)</w:t>
      </w:r>
    </w:p>
    <w:p>
      <w:pPr>
        <w:numPr>
          <w:ilvl w:val="0"/>
          <w:numId w:val="1011"/>
        </w:numPr>
        <w:pStyle w:val="Compact"/>
      </w:pPr>
      <w:r>
        <w:rPr>
          <w:bCs/>
          <w:b/>
        </w:rPr>
        <w:t xml:space="preserve">Calculated Emissions:</w:t>
      </w:r>
      <w:r>
        <w:t xml:space="preserve"> </w:t>
      </w:r>
      <w:r>
        <w:t xml:space="preserve">15 kWh/unit * 0.6205 kgCO2e/kWh = 9.31 kgCO2e/unit</w:t>
      </w:r>
    </w:p>
    <w:bookmarkEnd w:id="35"/>
    <w:bookmarkStart w:id="38" w:name="scope-3-value-chain-emissions"/>
    <w:p>
      <w:pPr>
        <w:pStyle w:val="Heading3"/>
      </w:pPr>
      <w:r>
        <w:t xml:space="preserve">3.3. Scope 3: Value Chain Emissions</w:t>
      </w:r>
    </w:p>
    <w:bookmarkStart w:id="36" w:name="upstream-activities"/>
    <w:p>
      <w:pPr>
        <w:pStyle w:val="Heading4"/>
      </w:pPr>
      <w:r>
        <w:t xml:space="preserve">3.3.1. Upstream Activities</w:t>
      </w:r>
    </w:p>
    <w:p>
      <w:pPr>
        <w:numPr>
          <w:ilvl w:val="0"/>
          <w:numId w:val="1012"/>
        </w:numPr>
        <w:pStyle w:val="Compact"/>
      </w:pPr>
      <w:r>
        <w:rPr>
          <w:bCs/>
          <w:b/>
        </w:rPr>
        <w:t xml:space="preserve">Materials Acquisition &amp; Pre-processing:</w:t>
      </w:r>
    </w:p>
    <w:p>
      <w:pPr>
        <w:numPr>
          <w:ilvl w:val="1"/>
          <w:numId w:val="1013"/>
        </w:numPr>
        <w:pStyle w:val="Compact"/>
      </w:pPr>
      <w:r>
        <w:rPr>
          <w:bCs/>
          <w:b/>
        </w:rPr>
        <w:t xml:space="preserve">Calculated Emissions:</w:t>
      </w:r>
      <w:r>
        <w:t xml:space="preserve"> </w:t>
      </w:r>
      <w:r>
        <w:t xml:space="preserve">8.6 kgCO2e/unit (from BOM \'Total Carbon\')</w:t>
      </w:r>
    </w:p>
    <w:p>
      <w:pPr>
        <w:numPr>
          <w:ilvl w:val="0"/>
          <w:numId w:val="1012"/>
        </w:numPr>
        <w:pStyle w:val="Compact"/>
      </w:pPr>
      <w:r>
        <w:rPr>
          <w:bCs/>
          <w:b/>
        </w:rPr>
        <w:t xml:space="preserve">Upstream Transportation &amp; Distribution (Components to Factory):</w:t>
      </w:r>
    </w:p>
    <w:p>
      <w:pPr>
        <w:numPr>
          <w:ilvl w:val="1"/>
          <w:numId w:val="1014"/>
        </w:numPr>
        <w:pStyle w:val="Compact"/>
      </w:pPr>
      <w:r>
        <w:rPr>
          <w:bCs/>
          <w:b/>
        </w:rPr>
        <w:t xml:space="preserve">Activity:</w:t>
      </w:r>
      <w:r>
        <w:t xml:space="preserve"> </w:t>
      </w:r>
      <w:r>
        <w:t xml:space="preserve">0.00085 tonnes * 1500 km</w:t>
      </w:r>
    </w:p>
    <w:p>
      <w:pPr>
        <w:numPr>
          <w:ilvl w:val="1"/>
          <w:numId w:val="1014"/>
        </w:numPr>
        <w:pStyle w:val="Compact"/>
      </w:pPr>
      <w:r>
        <w:rPr>
          <w:bCs/>
          <w:b/>
        </w:rPr>
        <w:t xml:space="preserve">Emission Factor:</w:t>
      </w:r>
      <w:r>
        <w:t xml:space="preserve"> </w:t>
      </w:r>
      <w:r>
        <w:t xml:space="preserve">0.1 kgCO2e/tkm</w:t>
      </w:r>
    </w:p>
    <w:p>
      <w:pPr>
        <w:numPr>
          <w:ilvl w:val="1"/>
          <w:numId w:val="1014"/>
        </w:numPr>
        <w:pStyle w:val="Compact"/>
      </w:pPr>
      <w:r>
        <w:rPr>
          <w:bCs/>
          <w:b/>
        </w:rPr>
        <w:t xml:space="preserve">Calculated Emissions:</w:t>
      </w:r>
      <w:r>
        <w:t xml:space="preserve"> </w:t>
      </w:r>
      <w:r>
        <w:t xml:space="preserve">12.75 kgCO2e/unit</w:t>
      </w:r>
    </w:p>
    <w:p>
      <w:pPr>
        <w:numPr>
          <w:ilvl w:val="0"/>
          <w:numId w:val="1012"/>
        </w:numPr>
        <w:pStyle w:val="Compact"/>
      </w:pPr>
      <w:r>
        <w:rPr>
          <w:bCs/>
          <w:b/>
        </w:rPr>
        <w:t xml:space="preserve">Total Scope 3 Upstream Emissions:</w:t>
      </w:r>
      <w:r>
        <w:t xml:space="preserve"> </w:t>
      </w:r>
      <w:r>
        <w:t xml:space="preserve">8.6 + 12.75 = 21.35 kgCO2e/unit</w:t>
      </w:r>
    </w:p>
    <w:bookmarkEnd w:id="36"/>
    <w:bookmarkStart w:id="37" w:name="downstream-activities"/>
    <w:p>
      <w:pPr>
        <w:pStyle w:val="Heading4"/>
      </w:pPr>
      <w:r>
        <w:t xml:space="preserve">3.3.2. Downstream Activities</w:t>
      </w:r>
    </w:p>
    <w:p>
      <w:pPr>
        <w:numPr>
          <w:ilvl w:val="0"/>
          <w:numId w:val="1015"/>
        </w:numPr>
        <w:pStyle w:val="Compact"/>
      </w:pPr>
      <w:r>
        <w:rPr>
          <w:bCs/>
          <w:b/>
        </w:rPr>
        <w:t xml:space="preserve">Downstream Transportation &amp; Distribution (Factory to Customer):</w:t>
      </w:r>
    </w:p>
    <w:p>
      <w:pPr>
        <w:numPr>
          <w:ilvl w:val="1"/>
          <w:numId w:val="1016"/>
        </w:numPr>
        <w:pStyle w:val="Compact"/>
      </w:pPr>
      <w:r>
        <w:rPr>
          <w:bCs/>
          <w:b/>
        </w:rPr>
        <w:t xml:space="preserve">Ocean Freight (China to Europe Hub):</w:t>
      </w:r>
      <w:r>
        <w:t xml:space="preserve"> </w:t>
      </w:r>
      <w:r>
        <w:t xml:space="preserve">(0.85 kg / 1000 kg/tonne) * 10,000 km * 0.01 kgCO2e/tkm = 0.085 kgCO2e/unit</w:t>
      </w:r>
    </w:p>
    <w:p>
      <w:pPr>
        <w:numPr>
          <w:ilvl w:val="1"/>
          <w:numId w:val="1016"/>
        </w:numPr>
        <w:pStyle w:val="Compact"/>
      </w:pPr>
      <w:r>
        <w:rPr>
          <w:bCs/>
          <w:b/>
        </w:rPr>
        <w:t xml:space="preserve">Last-Mile Delivery (Hub to Customer):</w:t>
      </w:r>
      <w:r>
        <w:t xml:space="preserve"> </w:t>
      </w:r>
      <w:r>
        <w:t xml:space="preserve">100 km * 0.25 kgCO2e/km = 25.0 kgCO2e/unit</w:t>
      </w:r>
    </w:p>
    <w:p>
      <w:pPr>
        <w:numPr>
          <w:ilvl w:val="1"/>
          <w:numId w:val="1016"/>
        </w:numPr>
        <w:pStyle w:val="Compact"/>
      </w:pPr>
      <w:r>
        <w:rPr>
          <w:bCs/>
          <w:b/>
        </w:rPr>
        <w:t xml:space="preserve">Total Downstream Transport Emissions:</w:t>
      </w:r>
      <w:r>
        <w:t xml:space="preserve"> </w:t>
      </w:r>
      <w:r>
        <w:t xml:space="preserve">0.085 + 25.0 = 25.09 kgCO2e/unit</w:t>
      </w:r>
    </w:p>
    <w:p>
      <w:pPr>
        <w:numPr>
          <w:ilvl w:val="0"/>
          <w:numId w:val="1015"/>
        </w:numPr>
        <w:pStyle w:val="Compact"/>
      </w:pPr>
      <w:r>
        <w:rPr>
          <w:bCs/>
          <w:b/>
        </w:rPr>
        <w:t xml:space="preserve">Use Phase:</w:t>
      </w:r>
    </w:p>
    <w:p>
      <w:pPr>
        <w:numPr>
          <w:ilvl w:val="1"/>
          <w:numId w:val="1017"/>
        </w:numPr>
        <w:pStyle w:val="Compact"/>
      </w:pPr>
      <w:r>
        <w:rPr>
          <w:bCs/>
          <w:b/>
        </w:rPr>
        <w:t xml:space="preserve">Activity:</w:t>
      </w:r>
      <w:r>
        <w:t xml:space="preserve"> </w:t>
      </w:r>
      <w:r>
        <w:t xml:space="preserve">105 kWh (total over lifespan)</w:t>
      </w:r>
    </w:p>
    <w:p>
      <w:pPr>
        <w:numPr>
          <w:ilvl w:val="1"/>
          <w:numId w:val="1017"/>
        </w:numPr>
        <w:pStyle w:val="Compact"/>
      </w:pPr>
      <w:r>
        <w:rPr>
          <w:bCs/>
          <w:b/>
        </w:rPr>
        <w:t xml:space="preserve">Emission Factor:</w:t>
      </w:r>
      <w:r>
        <w:t xml:space="preserve"> </w:t>
      </w:r>
      <w:r>
        <w:t xml:space="preserve">European Grid EF (0.181 kgCO2e/kWh)</w:t>
      </w:r>
    </w:p>
    <w:p>
      <w:pPr>
        <w:numPr>
          <w:ilvl w:val="1"/>
          <w:numId w:val="1017"/>
        </w:numPr>
        <w:pStyle w:val="Compact"/>
      </w:pPr>
      <w:r>
        <w:rPr>
          <w:bCs/>
          <w:b/>
        </w:rPr>
        <w:t xml:space="preserve">Calculated Emissions:</w:t>
      </w:r>
      <w:r>
        <w:t xml:space="preserve"> </w:t>
      </w:r>
      <w:r>
        <w:t xml:space="preserve">105 kWh * 0.181 kgCO2e/kWh = 19.01 kgCO2e/unit</w:t>
      </w:r>
    </w:p>
    <w:p>
      <w:pPr>
        <w:numPr>
          <w:ilvl w:val="0"/>
          <w:numId w:val="1015"/>
        </w:numPr>
        <w:pStyle w:val="Compact"/>
      </w:pPr>
      <w:r>
        <w:rPr>
          <w:bCs/>
          <w:b/>
        </w:rPr>
        <w:t xml:space="preserve">End-of-Life (EoL):</w:t>
      </w:r>
    </w:p>
    <w:p>
      <w:pPr>
        <w:numPr>
          <w:ilvl w:val="1"/>
          <w:numId w:val="1018"/>
        </w:numPr>
        <w:pStyle w:val="Compact"/>
      </w:pPr>
      <w:r>
        <w:rPr>
          <w:bCs/>
          <w:b/>
        </w:rPr>
        <w:t xml:space="preserve">Landfill Emissions (40% of product mass):</w:t>
      </w:r>
      <w:r>
        <w:t xml:space="preserve"> </w:t>
      </w:r>
      <w:r>
        <w:t xml:space="preserve">0.34 kg * 0.3 kgCO2e/kg = 0.10 kgCO2e/unit</w:t>
      </w:r>
    </w:p>
    <w:p>
      <w:pPr>
        <w:numPr>
          <w:ilvl w:val="1"/>
          <w:numId w:val="1018"/>
        </w:numPr>
        <w:pStyle w:val="Compact"/>
      </w:pPr>
      <w:r>
        <w:rPr>
          <w:bCs/>
          <w:b/>
        </w:rPr>
        <w:t xml:space="preserve">Recycling Credit (60% of product mass, applying LSR Standard for removals):</w:t>
      </w:r>
      <w:r>
        <w:t xml:space="preserve"> </w:t>
      </w:r>
      <w:r>
        <w:t xml:space="preserve">0.51 kg * -1.5 kgCO2e/kg = -0.77 kgCO2e/unit</w:t>
      </w:r>
    </w:p>
    <w:p>
      <w:pPr>
        <w:numPr>
          <w:ilvl w:val="1"/>
          <w:numId w:val="1018"/>
        </w:numPr>
        <w:pStyle w:val="Compact"/>
      </w:pPr>
      <w:r>
        <w:rPr>
          <w:bCs/>
          <w:b/>
        </w:rPr>
        <w:t xml:space="preserve">Total EoL Emissions:</w:t>
      </w:r>
      <w:r>
        <w:t xml:space="preserve"> </w:t>
      </w:r>
      <w:r>
        <w:t xml:space="preserve">0.10 - 0.77 = -0.67 kgCO2e/unit</w:t>
      </w:r>
    </w:p>
    <w:p>
      <w:pPr>
        <w:numPr>
          <w:ilvl w:val="0"/>
          <w:numId w:val="1015"/>
        </w:numPr>
        <w:pStyle w:val="Compact"/>
      </w:pPr>
      <w:r>
        <w:rPr>
          <w:bCs/>
          <w:b/>
        </w:rPr>
        <w:t xml:space="preserve">Total Scope 3 Downstream Emissions:</w:t>
      </w:r>
      <w:r>
        <w:t xml:space="preserve"> </w:t>
      </w:r>
      <w:r>
        <w:t xml:space="preserve">25.09 + 19.01 - 0.67 = 43.43 kgCO2e/unit</w:t>
      </w:r>
    </w:p>
    <w:bookmarkEnd w:id="37"/>
    <w:bookmarkEnd w:id="38"/>
    <w:bookmarkStart w:id="39" w:name="X9d0be81dda6caf9fcb9f536ddb8c5b925648a86"/>
    <w:p>
      <w:pPr>
        <w:pStyle w:val="Heading3"/>
      </w:pPr>
      <w:r>
        <w:t xml:space="preserve">3.4. Summary of Emissions by Scope (per Functional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9.31</w:t>
            </w:r>
          </w:p>
        </w:tc>
      </w:tr>
      <w:tr>
        <w:tc>
          <w:tcPr>
            <w:vMerge w:val="restart"/>
          </w:tcPr>
          <w:p>
            <w:pPr>
              <w:pStyle w:val="Compact"/>
              <w:jc w:val="left"/>
            </w:pPr>
            <w:r>
              <w:t xml:space="preserve">Scope 3 - Upstream</w:t>
            </w:r>
          </w:p>
        </w:tc>
        <w:tc>
          <w:tcPr/>
          <w:p>
            <w:pPr>
              <w:pStyle w:val="Compact"/>
              <w:jc w:val="left"/>
            </w:pPr>
            <w:r>
              <w:t xml:space="preserve">Materials Acquisition &amp; Pre-processing</w:t>
            </w:r>
          </w:p>
        </w:tc>
        <w:tc>
          <w:tcPr/>
          <w:p>
            <w:pPr>
              <w:pStyle w:val="Compact"/>
              <w:jc w:val="left"/>
            </w:pPr>
            <w:r>
              <w:t xml:space="preserve">8.60</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12.75</w:t>
            </w:r>
          </w:p>
        </w:tc>
      </w:tr>
      <w:tr>
        <w:tc>
          <w:tcPr>
            <w:gridSpan w:val="2"/>
          </w:tcPr>
          <w:p>
            <w:pPr>
              <w:pStyle w:val="Compact"/>
              <w:jc w:val="right"/>
            </w:pPr>
            <w:r>
              <w:t xml:space="preserve">Subtotal Scope 3 Upstream:</w:t>
            </w:r>
          </w:p>
        </w:tc>
        <w:tc>
          <w:tcPr/>
          <w:p>
            <w:pPr>
              <w:pStyle w:val="Compact"/>
              <w:jc w:val="left"/>
            </w:pPr>
            <w:r>
              <w:t xml:space="preserve">21.35</w:t>
            </w:r>
          </w:p>
        </w:tc>
      </w:tr>
      <w:tr>
        <w:tc>
          <w:tcPr>
            <w:vMerge w:val="restart"/>
          </w:tcPr>
          <w:p>
            <w:pPr>
              <w:pStyle w:val="Compact"/>
              <w:jc w:val="left"/>
            </w:pPr>
            <w:r>
              <w:t xml:space="preserve">Scope 3 - Downstream</w:t>
            </w:r>
          </w:p>
        </w:tc>
        <w:tc>
          <w:tcPr/>
          <w:p>
            <w:pPr>
              <w:pStyle w:val="Compact"/>
              <w:jc w:val="left"/>
            </w:pPr>
            <w:r>
              <w:t xml:space="preserve">Downstream Transportation &amp; Distribution</w:t>
            </w:r>
          </w:p>
        </w:tc>
        <w:tc>
          <w:tcPr/>
          <w:p>
            <w:pPr>
              <w:pStyle w:val="Compact"/>
              <w:jc w:val="left"/>
            </w:pPr>
            <w:r>
              <w:t xml:space="preserve">25.09</w:t>
            </w:r>
          </w:p>
        </w:tc>
      </w:tr>
      <w:tr>
        <w:tc>
          <w:tcPr>
            <w:gridSpan w:val="1"/>
            <w:vMerge w:val="continue"/>
          </w:tcPr>
          <w:p>
            <w:pPr/>
          </w:p>
        </w:tc>
        <w:tc>
          <w:tcPr/>
          <w:p>
            <w:pPr>
              <w:pStyle w:val="Compact"/>
              <w:jc w:val="left"/>
            </w:pPr>
            <w:r>
              <w:t xml:space="preserve">Use Phase</w:t>
            </w:r>
          </w:p>
        </w:tc>
        <w:tc>
          <w:tcPr/>
          <w:p>
            <w:pPr>
              <w:pStyle w:val="Compact"/>
              <w:jc w:val="left"/>
            </w:pPr>
            <w:r>
              <w:t xml:space="preserve">19.01</w:t>
            </w:r>
          </w:p>
        </w:tc>
      </w:tr>
      <w:tr>
        <w:tc>
          <w:tcPr>
            <w:gridSpan w:val="1"/>
            <w:vMerge w:val="continue"/>
          </w:tcPr>
          <w:p>
            <w:pPr/>
          </w:p>
        </w:tc>
        <w:tc>
          <w:tcPr/>
          <w:p>
            <w:pPr>
              <w:pStyle w:val="Compact"/>
              <w:jc w:val="left"/>
            </w:pPr>
            <w:r>
              <w:t xml:space="preserve">End-of-Life</w:t>
            </w:r>
          </w:p>
        </w:tc>
        <w:tc>
          <w:tcPr/>
          <w:p>
            <w:pPr>
              <w:pStyle w:val="Compact"/>
              <w:jc w:val="left"/>
            </w:pPr>
            <w:r>
              <w:t xml:space="preserve">-0.67</w:t>
            </w:r>
          </w:p>
        </w:tc>
      </w:tr>
      <w:tr>
        <w:tc>
          <w:tcPr>
            <w:gridSpan w:val="2"/>
          </w:tcPr>
          <w:p>
            <w:pPr>
              <w:pStyle w:val="Compact"/>
              <w:jc w:val="right"/>
            </w:pPr>
            <w:r>
              <w:t xml:space="preserve">Subtotal Scope 3 Downstream:</w:t>
            </w:r>
          </w:p>
        </w:tc>
        <w:tc>
          <w:tcPr/>
          <w:p>
            <w:pPr>
              <w:pStyle w:val="Compact"/>
              <w:jc w:val="left"/>
            </w:pPr>
            <w:r>
              <w:t xml:space="preserve">43.43</w:t>
            </w:r>
          </w:p>
        </w:tc>
      </w:tr>
      <w:tr>
        <w:tc>
          <w:tcPr>
            <w:gridSpan w:val="2"/>
          </w:tcPr>
          <w:p>
            <w:pPr>
              <w:pStyle w:val="Compact"/>
              <w:jc w:val="right"/>
            </w:pPr>
            <w:r>
              <w:t xml:space="preserve">Total Product Carbon Footprint:</w:t>
            </w:r>
          </w:p>
        </w:tc>
        <w:tc>
          <w:tcPr/>
          <w:p>
            <w:pPr>
              <w:pStyle w:val="Compact"/>
              <w:jc w:val="left"/>
            </w:pPr>
            <w:r>
              <w:t xml:space="preserve">74.08 kgCO2e/unit</w:t>
            </w:r>
          </w:p>
        </w:tc>
      </w:tr>
    </w:tbl>
    <w:p>
      <w:pPr>
        <w:pStyle w:val="BodyText"/>
      </w:pPr>
      <w:r>
        <w:t xml:space="preserve">Note: Totals may slightly vary due to rounding.</w:t>
      </w:r>
    </w:p>
    <w:p>
      <w:r>
        <w:pict>
          <v:rect style="width:0;height:1.5pt" o:hralign="center" o:hrstd="t" o:hr="t"/>
        </w:pict>
      </w:r>
    </w:p>
    <w:bookmarkEnd w:id="39"/>
    <w:bookmarkEnd w:id="40"/>
    <w:bookmarkStart w:id="43" w:name="review-report-hotspots-and-reliability"/>
    <w:p>
      <w:pPr>
        <w:pStyle w:val="Heading2"/>
      </w:pPr>
      <w:r>
        <w:t xml:space="preserve">4. Review &amp; Report: Hotspots and Reliability</w:t>
      </w:r>
    </w:p>
    <w:bookmarkStart w:id="41" w:name="identification-of-hotspots"/>
    <w:p>
      <w:pPr>
        <w:pStyle w:val="Heading3"/>
      </w:pPr>
      <w:r>
        <w:t xml:space="preserve">4.1. Identification of Hotspots</w:t>
      </w:r>
    </w:p>
    <w:p>
      <w:pPr>
        <w:pStyle w:val="FirstParagraph"/>
      </w:pPr>
      <w:r>
        <w:t xml:space="preserve">Based on the calculations, the primary emission hotspots for EcoGadget Pro are:</w:t>
      </w:r>
    </w:p>
    <w:p>
      <w:pPr>
        <w:numPr>
          <w:ilvl w:val="0"/>
          <w:numId w:val="1019"/>
        </w:numPr>
        <w:pStyle w:val="Compact"/>
      </w:pPr>
      <w:r>
        <w:rPr>
          <w:bCs/>
          <w:b/>
        </w:rPr>
        <w:t xml:space="preserve">Downstream Transportation (25.09 kgCO2e):</w:t>
      </w:r>
      <w:r>
        <w:t xml:space="preserve"> </w:t>
      </w:r>
      <w:r>
        <w:t xml:space="preserve">Particularly the last-mile delivery, due to the emission factor per km for vans and the assumed distance. This highlights logistics as a critical area for optimization.</w:t>
      </w:r>
    </w:p>
    <w:p>
      <w:pPr>
        <w:numPr>
          <w:ilvl w:val="0"/>
          <w:numId w:val="1019"/>
        </w:numPr>
        <w:pStyle w:val="Compact"/>
      </w:pPr>
      <w:r>
        <w:rPr>
          <w:bCs/>
          <w:b/>
        </w:rPr>
        <w:t xml:space="preserve">Upstream Materials (21.35 kgCO2e):</w:t>
      </w:r>
      <w:r>
        <w:t xml:space="preserve"> </w:t>
      </w:r>
      <w:r>
        <w:t xml:space="preserve">The acquisition and processing of raw materials, especially aluminum and silicon, contribute significantly. This indicates opportunities for material efficiency, recycled content, and supplier engagement.</w:t>
      </w:r>
    </w:p>
    <w:p>
      <w:pPr>
        <w:numPr>
          <w:ilvl w:val="0"/>
          <w:numId w:val="1019"/>
        </w:numPr>
        <w:pStyle w:val="Compact"/>
      </w:pPr>
      <w:r>
        <w:rPr>
          <w:bCs/>
          <w:b/>
        </w:rPr>
        <w:t xml:space="preserve">Use Phase (19.01 kgCO2e):</w:t>
      </w:r>
      <w:r>
        <w:t xml:space="preserve"> </w:t>
      </w:r>
      <w:r>
        <w:t xml:space="preserve">The energy consumption during the product\'s 7-year lifespan is substantial, emphasizing the importance of energy-efficient design and promoting renewable energy at the user end.</w:t>
      </w:r>
    </w:p>
    <w:p>
      <w:pPr>
        <w:numPr>
          <w:ilvl w:val="0"/>
          <w:numId w:val="1019"/>
        </w:numPr>
        <w:pStyle w:val="Compact"/>
      </w:pPr>
      <w:r>
        <w:rPr>
          <w:bCs/>
          <w:b/>
        </w:rPr>
        <w:t xml:space="preserve">Production Phase (9.31 kgCO2e):</w:t>
      </w:r>
      <w:r>
        <w:t xml:space="preserve"> </w:t>
      </w:r>
      <w:r>
        <w:t xml:space="preserve">While ipxujhqjhu utilizes 40% renewable energy, the remaining grid electricity usage still contributes notably. Increasing renewable energy procurement in production facilities is crucial.</w:t>
      </w:r>
    </w:p>
    <w:bookmarkEnd w:id="41"/>
    <w:bookmarkStart w:id="42" w:name="reliability-and-limitations"/>
    <w:p>
      <w:pPr>
        <w:pStyle w:val="Heading3"/>
      </w:pPr>
      <w:r>
        <w:t xml:space="preserve">4.2. Reliability and Limitations</w:t>
      </w:r>
    </w:p>
    <w:p>
      <w:pPr>
        <w:pStyle w:val="FirstParagraph"/>
      </w:pPr>
      <w:r>
        <w:t xml:space="preserve">The reliability of this PCF analysis is contingent on the accuracy of the activity data and the emission factors applied. Assumptions have been made for certain parameters (e.g., specific transport distances, EoL scenarios, and placeholder values for general data points like `Select Mode` and `Delivery Type`).</w:t>
      </w:r>
    </w:p>
    <w:p>
      <w:pPr>
        <w:numPr>
          <w:ilvl w:val="0"/>
          <w:numId w:val="1020"/>
        </w:numPr>
        <w:pStyle w:val="Compact"/>
      </w:pPr>
      <w:r>
        <w:rPr>
          <w:bCs/>
          <w:b/>
        </w:rPr>
        <w:t xml:space="preserve">Primary Data:</w:t>
      </w:r>
      <w:r>
        <w:t xml:space="preserve"> </w:t>
      </w:r>
      <w:r>
        <w:t xml:space="preserve">The provided BOM data offers a high level of detail for material impacts.</w:t>
      </w:r>
    </w:p>
    <w:p>
      <w:pPr>
        <w:numPr>
          <w:ilvl w:val="0"/>
          <w:numId w:val="1020"/>
        </w:numPr>
        <w:pStyle w:val="Compact"/>
      </w:pPr>
      <w:r>
        <w:rPr>
          <w:bCs/>
          <w:b/>
        </w:rPr>
        <w:t xml:space="preserve">Secondary Data:</w:t>
      </w:r>
      <w:r>
        <w:t xml:space="preserve"> </w:t>
      </w:r>
      <w:r>
        <w:t xml:space="preserve">Emission factors are sourced from reputable industry databases (IEA, BEIS/Defra, EPA) and represent up-to-date averages for 2023-2024 where available.</w:t>
      </w:r>
    </w:p>
    <w:p>
      <w:pPr>
        <w:numPr>
          <w:ilvl w:val="0"/>
          <w:numId w:val="1020"/>
        </w:numPr>
        <w:pStyle w:val="Compact"/>
      </w:pPr>
      <w:r>
        <w:rPr>
          <w:bCs/>
          <w:b/>
        </w:rPr>
        <w:t xml:space="preserve">System Boundary Interpretation:</w:t>
      </w:r>
      <w:r>
        <w:t xml:space="preserve"> </w:t>
      </w:r>
      <w:r>
        <w:t xml:space="preserve">The inclusion of cradle-to-grave elements, despite a stated "factory_gate" system boundary, addresses the comprehensive requirements but warrants clear communication regarding the scope for ipxujhqjhu\'s internal vs. product-level reporting.</w:t>
      </w:r>
    </w:p>
    <w:p>
      <w:pPr>
        <w:numPr>
          <w:ilvl w:val="0"/>
          <w:numId w:val="1020"/>
        </w:numPr>
        <w:pStyle w:val="Compact"/>
      </w:pPr>
      <w:r>
        <w:rPr>
          <w:bCs/>
          <w:b/>
        </w:rPr>
        <w:t xml:space="preserve">Scope 3 Coverage:</w:t>
      </w:r>
      <w:r>
        <w:t xml:space="preserve"> </w:t>
      </w:r>
      <w:r>
        <w:t xml:space="preserve">By including detailed material, transport, use, and end-of-life stages, the report aims for robust Scope 3 coverage, targeting the 95% requirement for 2026.</w:t>
      </w:r>
    </w:p>
    <w:p>
      <w:pPr>
        <w:numPr>
          <w:ilvl w:val="0"/>
          <w:numId w:val="1020"/>
        </w:numPr>
        <w:pStyle w:val="Compact"/>
      </w:pPr>
      <w:r>
        <w:rPr>
          <w:bCs/>
          <w:b/>
        </w:rPr>
        <w:t xml:space="preserve">LSR Standard:</w:t>
      </w:r>
      <w:r>
        <w:t xml:space="preserve"> </w:t>
      </w:r>
      <w:r>
        <w:t xml:space="preserve">Carbon removals from recycling have been accounted for as a credit under the LSR Standard. More detailed analysis would require specific land use data related to raw material extraction and biomass.</w:t>
      </w:r>
    </w:p>
    <w:p>
      <w:r>
        <w:pict>
          <v:rect style="width:0;height:1.5pt" o:hralign="center" o:hrstd="t" o:hr="t"/>
        </w:pict>
      </w:r>
    </w:p>
    <w:bookmarkEnd w:id="42"/>
    <w:bookmarkEnd w:id="43"/>
    <w:bookmarkStart w:id="44" w:name="recommendations-for-emission-reduction"/>
    <w:p>
      <w:pPr>
        <w:pStyle w:val="Heading2"/>
      </w:pPr>
      <w:r>
        <w:t xml:space="preserve">5. Recommendations for Emission Reduction</w:t>
      </w:r>
    </w:p>
    <w:p>
      <w:pPr>
        <w:pStyle w:val="FirstParagraph"/>
      </w:pPr>
      <w:r>
        <w:t xml:space="preserve">To reduce the carbon footprint of EcoGadget Pro, ipxujhqjhu should consider:</w:t>
      </w:r>
    </w:p>
    <w:p>
      <w:pPr>
        <w:numPr>
          <w:ilvl w:val="0"/>
          <w:numId w:val="1021"/>
        </w:numPr>
        <w:pStyle w:val="Compact"/>
      </w:pPr>
      <w:r>
        <w:rPr>
          <w:bCs/>
          <w:b/>
        </w:rPr>
        <w:t xml:space="preserve">Supply Chain Engagement:</w:t>
      </w:r>
      <w:r>
        <w:t xml:space="preserve"> </w:t>
      </w:r>
      <w:r>
        <w:t xml:space="preserve">Collaborate with material suppliers to source lower-carbon intensity materials, increase recycled content, and improve their manufacturing efficiency.</w:t>
      </w:r>
    </w:p>
    <w:p>
      <w:pPr>
        <w:numPr>
          <w:ilvl w:val="0"/>
          <w:numId w:val="1021"/>
        </w:numPr>
        <w:pStyle w:val="Compact"/>
      </w:pPr>
      <w:r>
        <w:rPr>
          <w:bCs/>
          <w:b/>
        </w:rPr>
        <w:t xml:space="preserve">Production Optimization:</w:t>
      </w:r>
      <w:r>
        <w:t xml:space="preserve"> </w:t>
      </w:r>
      <w:r>
        <w:t xml:space="preserve">Increase the percentage of renewable energy used in production facilities beyond the current 40% (`wrgwwnxzrw`), potentially through on-site generation or Power Purchase Agreements (PPAs) with renewable energy providers.</w:t>
      </w:r>
    </w:p>
    <w:p>
      <w:pPr>
        <w:numPr>
          <w:ilvl w:val="0"/>
          <w:numId w:val="1021"/>
        </w:numPr>
        <w:pStyle w:val="Compact"/>
      </w:pPr>
      <w:r>
        <w:rPr>
          <w:bCs/>
          <w:b/>
        </w:rPr>
        <w:t xml:space="preserve">Logistics Efficiency:</w:t>
      </w:r>
      <w:r>
        <w:t xml:space="preserve"> </w:t>
      </w:r>
      <w:r>
        <w:t xml:space="preserve">Optimize transport routes, explore lower-emission transport modes (e.g., rail, electric vehicles for last-mile delivery), and consolidate shipments to reduce the impact of both upstream and downstream logistics.</w:t>
      </w:r>
    </w:p>
    <w:p>
      <w:pPr>
        <w:numPr>
          <w:ilvl w:val="0"/>
          <w:numId w:val="1021"/>
        </w:numPr>
        <w:pStyle w:val="Compact"/>
      </w:pPr>
      <w:r>
        <w:rPr>
          <w:bCs/>
          <w:b/>
        </w:rPr>
        <w:t xml:space="preserve">Product Design for Circularity:</w:t>
      </w:r>
      <w:r>
        <w:t xml:space="preserve"> </w:t>
      </w:r>
      <w:r>
        <w:t xml:space="preserve">Enhance product durability (`hjiqkxxsdx`), improve energy efficiency in the use phase (`mzioxzjnnu`), and design for easier disassembly and higher recyclability beyond the current 60% (`jkgrnyrgrp`). Further strengthen circular/take-back programs (`hsfusgvgkk`).</w:t>
      </w:r>
    </w:p>
    <w:p>
      <w:pPr>
        <w:numPr>
          <w:ilvl w:val="0"/>
          <w:numId w:val="1021"/>
        </w:numPr>
        <w:pStyle w:val="Compact"/>
      </w:pPr>
      <w:r>
        <w:rPr>
          <w:bCs/>
          <w:b/>
        </w:rPr>
        <w:t xml:space="preserve">User Education:</w:t>
      </w:r>
      <w:r>
        <w:t xml:space="preserve"> </w:t>
      </w:r>
      <w:r>
        <w:t xml:space="preserve">Provide guidance to end-users on energy-efficient usage and proper end-of-life disposal or return through take-back programs to maximize recycling and minimize landfilling.</w:t>
      </w:r>
    </w:p>
    <w:p>
      <w:r>
        <w:pict>
          <v:rect style="width:0;height:1.5pt" o:hralign="center" o:hrstd="t" o:hr="t"/>
        </w:pict>
      </w:r>
    </w:p>
    <w:p>
      <w:pPr>
        <w:pStyle w:val="FirstParagraph"/>
      </w:pPr>
      <w:r>
        <w:t xml:space="preserve">Confidential - Internal Use Only | Page</w:t>
      </w:r>
      <w:r>
        <w:t xml:space="preserve"> </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 (vnqrelnvrn)</dc:title>
  <dc:creator/>
  <dc:description>Detailed Product Carbon Footprint (PCF) analysis report for EcoGadget Pro (vnqrelnvrn) for ipxujhqjhu, adhering to GHG Protocol and 2026 LSR Update requirements.</dc:description>
  <dc:language>en</dc:language>
  <cp:keywords/>
  <dcterms:created xsi:type="dcterms:W3CDTF">2026-05-30T16:50:35Z</dcterms:created>
  <dcterms:modified xsi:type="dcterms:W3CDTF">2026-05-30T16:50:35Z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