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(nughgfzdkj)</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ecogadget-pro-nughgfzdkj"/>
    <w:p>
      <w:pPr>
        <w:pStyle w:val="Heading1"/>
      </w:pPr>
      <w:r>
        <w:t xml:space="preserve">for EcoGadget Pro (nughgfzdkj)</w:t>
      </w:r>
    </w:p>
    <w:p>
      <w:pPr>
        <w:pStyle w:val="FirstParagraph"/>
      </w:pPr>
      <w:r>
        <w:t xml:space="preserve">Protocol Data (Accounting Standard): GHG Protocol</w:t>
      </w:r>
    </w:p>
    <w:p>
      <w:pPr>
        <w:pStyle w:val="BodyText"/>
      </w:pPr>
      <w:r>
        <w:t xml:space="preserve">Name of the Company: mtjphqvsgg (Sustainable Innovations Inc.)</w:t>
      </w:r>
    </w:p>
    <w:p>
      <w:pPr>
        <w:pStyle w:val="BodyText"/>
      </w:pPr>
      <w:r>
        <w:t xml:space="preserve">Senior Sustainability Consultant: luisiqyluk</w:t>
      </w:r>
    </w:p>
    <w:p>
      <w:pPr>
        <w:pStyle w:val="BodyText"/>
      </w:pPr>
      <w:r>
        <w:t xml:space="preserve">Disclaimer: This report is generated based on available data and industry standards, including illustrative emission factors for certain categories where specific data was not provided. All calculations are performed according to the specified parameters and methodology.</w:t>
      </w:r>
    </w:p>
    <w:bookmarkEnd w:id="21"/>
    <w:bookmarkStart w:id="39" w:name="Xa87d010c1fd868336511b306fbd202996615f12"/>
    <w:p>
      <w:pPr>
        <w:pStyle w:val="Heading1"/>
      </w:pPr>
      <w:r>
        <w:t xml:space="preserve">Product Carbon Footprint Analysis Report</w:t>
      </w:r>
    </w:p>
    <w:p>
      <w:pPr>
        <w:pStyle w:val="FirstParagraph"/>
      </w:pPr>
      <w:r>
        <w:t xml:space="preserve">Generated Date: May 21,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"EcoGadget Pro" (nughgfzdkj) manufactured by mtjphqvsgg (Sustainable Innovations Inc.). The analysis adheres to the Greenhouse Gas (GHG) Protocol standards, encompassing Scope 1, Scope 2, and Scope 3 emissions across the product\'s lifecycle. The study incorporates a detailed Bill of Materials (BOM), specific logistics data, energy usage, product lifespan, and end-of-life scenarios. The total Product Carbon Footprint for one functional unit of EcoGadget Pro is calculated to be approximately</w:t>
      </w:r>
      <w:r>
        <w:t xml:space="preserve"> </w:t>
      </w:r>
      <w:r>
        <w:rPr>
          <w:bCs/>
          <w:b/>
        </w:rPr>
        <w:t xml:space="preserve">26.37 kg CO2e</w:t>
      </w:r>
      <w:r>
        <w:t xml:space="preserve">. The primary hotspots identified are the use phase electricity consumption and the manufacturing phase electricity consumption.</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EcoGadget Pro (nughgfzdkj).</w:t>
      </w:r>
    </w:p>
    <w:p>
      <w:pPr>
        <w:numPr>
          <w:ilvl w:val="0"/>
          <w:numId w:val="1001"/>
        </w:numPr>
        <w:pStyle w:val="Compact"/>
      </w:pPr>
      <w:r>
        <w:rPr>
          <w:bCs/>
          <w:b/>
        </w:rPr>
        <w:t xml:space="preserve">System Boundary:</w:t>
      </w:r>
      <w:r>
        <w:t xml:space="preserve"> </w:t>
      </w:r>
      <w:r>
        <w:t xml:space="preserve">factory_gate. This implies the analysis covers emissions up to the point the product leaves the factory gate, including upstream supply chain impacts, and extends to cover downstream impacts of use and end-of-life.</w:t>
      </w:r>
    </w:p>
    <w:p>
      <w:pPr>
        <w:numPr>
          <w:ilvl w:val="0"/>
          <w:numId w:val="1001"/>
        </w:numPr>
        <w:pStyle w:val="Compact"/>
      </w:pPr>
      <w:r>
        <w:rPr>
          <w:bCs/>
          <w:b/>
        </w:rPr>
        <w:t xml:space="preserve">Geographic Scope:</w:t>
      </w:r>
      <w:r>
        <w:t xml:space="preserve"> </w:t>
      </w:r>
      <w:r>
        <w:t xml:space="preserve">Final production in China, with a supply chain focus on Europe for distribution and use.</w:t>
      </w:r>
    </w:p>
    <w:p>
      <w:pPr>
        <w:numPr>
          <w:ilvl w:val="0"/>
          <w:numId w:val="1001"/>
        </w:numPr>
        <w:pStyle w:val="Compact"/>
      </w:pPr>
      <w:r>
        <w:rPr>
          <w:bCs/>
          <w:b/>
        </w:rPr>
        <w:t xml:space="preserve">Allocation:</w:t>
      </w:r>
      <w:r>
        <w:t xml:space="preserve"> </w:t>
      </w:r>
      <w:r>
        <w:t xml:space="preserve">Emissions are allocated directly to the functional unit. For shared processes (e.g., transport), allocation is based on mass for simplified calculations where specific allocation rules are not provided.</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(all other indirect emissions across the value chain).</w:t>
      </w:r>
    </w:p>
    <w:bookmarkEnd w:id="23"/>
    <w:bookmarkStart w:id="29" w:name="map-lifecycle-3.-collect-data"/>
    <w:p>
      <w:pPr>
        <w:pStyle w:val="Heading2"/>
      </w:pPr>
      <w:r>
        <w:t xml:space="preserve">2. Map Lifecycle &amp; 3. Collect Data</w:t>
      </w:r>
    </w:p>
    <w:p>
      <w:pPr>
        <w:pStyle w:val="FirstParagraph"/>
      </w:pPr>
      <w:r>
        <w:t xml:space="preserve">The lifecycle of the EcoGadget Pro (nughgfzdkj) has been mapped across key stages, and data collected from the provided parameters and illustrative industry-standard emission factors. The lifecycle stages include Raw Material Acquisition, Manufacturing, Transport (upstream and downstream), Use Phase, and End-of-Life.</w:t>
      </w:r>
    </w:p>
    <w:bookmarkStart w:id="24" w:name="Xd921e5331af5a9b64cacbb32a19a879c402a1e2"/>
    <w:p>
      <w:pPr>
        <w:pStyle w:val="Heading3"/>
      </w:pPr>
      <w:r>
        <w:t xml:space="preserve">Detailed Bill of Materials (BOM) - siyfyjpz</w:t>
      </w:r>
    </w:p>
    <w:p>
      <w:pPr>
        <w:pStyle w:val="FirstParagraph"/>
      </w:pPr>
      <w:r>
        <w:t xml:space="preserve">The following detailed Bill of Materials (BOM) was used for high-accuracy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Recycled ABS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2.8</w:t>
            </w:r>
          </w:p>
        </w:tc>
        <w:tc>
          <w:tcPr/>
          <w:p>
            <w:pPr>
              <w:pStyle w:val="Compact"/>
              <w:jc w:val="left"/>
            </w:pPr>
            <w:r>
              <w:t xml:space="preserve">0.98</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10.5</w:t>
            </w:r>
          </w:p>
        </w:tc>
        <w:tc>
          <w:tcPr/>
          <w:p>
            <w:pPr>
              <w:pStyle w:val="Compact"/>
              <w:jc w:val="left"/>
            </w:pPr>
            <w:r>
              <w:t xml:space="preserve">1.58</w:t>
            </w:r>
          </w:p>
        </w:tc>
      </w:tr>
      <w:tr>
        <w:tc>
          <w:tcPr/>
          <w:p>
            <w:pPr>
              <w:pStyle w:val="Compact"/>
              <w:jc w:val="left"/>
            </w:pPr>
            <w:r>
              <w:t xml:space="preserve">MAT003</w:t>
            </w:r>
          </w:p>
        </w:tc>
        <w:tc>
          <w:tcPr/>
          <w:p>
            <w:pPr>
              <w:pStyle w:val="Compact"/>
              <w:jc w:val="left"/>
            </w:pPr>
            <w:r>
              <w:t xml:space="preserve">Copper Wiring Assembly</w:t>
            </w:r>
          </w:p>
        </w:tc>
        <w:tc>
          <w:tcPr/>
          <w:p>
            <w:pPr>
              <w:pStyle w:val="Compact"/>
              <w:jc w:val="left"/>
            </w:pPr>
            <w:r>
              <w:t xml:space="preserve">Metals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3.8</w:t>
            </w:r>
          </w:p>
        </w:tc>
        <w:tc>
          <w:tcPr/>
          <w:p>
            <w:pPr>
              <w:pStyle w:val="Compact"/>
              <w:jc w:val="left"/>
            </w:pPr>
            <w:r>
              <w:t xml:space="preserve">0.19</w:t>
            </w:r>
          </w:p>
        </w:tc>
      </w:tr>
      <w:tr>
        <w:tc>
          <w:tcPr/>
          <w:p>
            <w:pPr>
              <w:pStyle w:val="Compact"/>
              <w:jc w:val="left"/>
            </w:pPr>
            <w:r>
              <w:t xml:space="preserve">MAT004</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28.0</w:t>
            </w:r>
          </w:p>
        </w:tc>
        <w:tc>
          <w:tcPr/>
          <w:p>
            <w:pPr>
              <w:pStyle w:val="Compact"/>
              <w:jc w:val="left"/>
            </w:pPr>
            <w:r>
              <w:t xml:space="preserve">2.80</w:t>
            </w:r>
          </w:p>
        </w:tc>
      </w:tr>
      <w:tr>
        <w:tc>
          <w:tcPr/>
          <w:p>
            <w:pPr>
              <w:pStyle w:val="Compact"/>
              <w:jc w:val="left"/>
            </w:pPr>
            <w:r>
              <w:t xml:space="preserve">MAT005</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0.07</w:t>
            </w:r>
          </w:p>
        </w:tc>
        <w:tc>
          <w:tcPr/>
          <w:p>
            <w:pPr>
              <w:pStyle w:val="Compact"/>
              <w:jc w:val="left"/>
            </w:pPr>
            <w:r>
              <w:t xml:space="preserve">16.0</w:t>
            </w:r>
          </w:p>
        </w:tc>
        <w:tc>
          <w:tcPr/>
          <w:p>
            <w:pPr>
              <w:pStyle w:val="Compact"/>
              <w:jc w:val="left"/>
            </w:pPr>
            <w:r>
              <w:t xml:space="preserve">1.12</w:t>
            </w:r>
          </w:p>
        </w:tc>
      </w:tr>
      <w:tr>
        <w:tc>
          <w:tcPr/>
          <w:p>
            <w:pPr>
              <w:pStyle w:val="Compact"/>
              <w:jc w:val="left"/>
            </w:pPr>
            <w:r>
              <w:t xml:space="preserve">MAT006</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Fabrication</w:t>
            </w:r>
          </w:p>
        </w:tc>
        <w:tc>
          <w:tcPr/>
          <w:p>
            <w:pPr>
              <w:pStyle w:val="Compact"/>
              <w:jc w:val="left"/>
            </w:pPr>
            <w:r>
              <w:t xml:space="preserve">0.08</w:t>
            </w:r>
          </w:p>
        </w:tc>
        <w:tc>
          <w:tcPr/>
          <w:p>
            <w:pPr>
              <w:pStyle w:val="Compact"/>
              <w:jc w:val="left"/>
            </w:pPr>
            <w:r>
              <w:t xml:space="preserve">1.2</w:t>
            </w:r>
          </w:p>
        </w:tc>
        <w:tc>
          <w:tcPr/>
          <w:p>
            <w:pPr>
              <w:pStyle w:val="Compact"/>
              <w:jc w:val="left"/>
            </w:pPr>
            <w:r>
              <w:t xml:space="preserve">0.10</w:t>
            </w:r>
          </w:p>
        </w:tc>
      </w:tr>
      <w:tr>
        <w:tc>
          <w:tcPr>
            <w:gridSpan w:val="4"/>
          </w:tcPr>
          <w:p>
            <w:pPr>
              <w:pStyle w:val="Compact"/>
              <w:jc w:val="right"/>
            </w:pPr>
            <w:r>
              <w:t xml:space="preserve">Total Material Weight:</w:t>
            </w:r>
          </w:p>
        </w:tc>
        <w:tc>
          <w:tcPr/>
          <w:p>
            <w:pPr>
              <w:pStyle w:val="Compact"/>
              <w:jc w:val="left"/>
            </w:pPr>
            <w:r>
              <w:t xml:space="preserve">0.80 kg</w:t>
            </w:r>
          </w:p>
        </w:tc>
        <w:tc>
          <w:tcPr/>
          <w:p>
            <w:pPr>
              <w:pStyle w:val="Compact"/>
            </w:pPr>
          </w:p>
        </w:tc>
        <w:tc>
          <w:tcPr/>
          <w:p>
            <w:pPr>
              <w:pStyle w:val="Compact"/>
            </w:pPr>
          </w:p>
        </w:tc>
      </w:tr>
      <w:tr>
        <w:tc>
          <w:tcPr>
            <w:gridSpan w:val="6"/>
          </w:tcPr>
          <w:p>
            <w:pPr>
              <w:pStyle w:val="Compact"/>
              <w:jc w:val="right"/>
            </w:pPr>
            <w:r>
              <w:t xml:space="preserve">Total Material Carbon Impact:</w:t>
            </w:r>
          </w:p>
        </w:tc>
        <w:tc>
          <w:tcPr/>
          <w:p>
            <w:pPr>
              <w:pStyle w:val="Compact"/>
              <w:jc w:val="left"/>
            </w:pPr>
            <w:r>
              <w:t xml:space="preserve">6.77 kg CO2e</w:t>
            </w:r>
          </w:p>
        </w:tc>
      </w:tr>
    </w:tbl>
    <w:bookmarkEnd w:id="24"/>
    <w:bookmarkStart w:id="25" w:name="energy-inputs-production-phase"/>
    <w:p>
      <w:pPr>
        <w:pStyle w:val="Heading3"/>
      </w:pPr>
      <w:r>
        <w:t xml:space="preserve">Energy Inputs (Production Phase)</w:t>
      </w:r>
    </w:p>
    <w:p>
      <w:pPr>
        <w:numPr>
          <w:ilvl w:val="0"/>
          <w:numId w:val="1002"/>
        </w:numPr>
        <w:pStyle w:val="Compact"/>
      </w:pPr>
      <w:r>
        <w:rPr>
          <w:bCs/>
          <w:b/>
        </w:rPr>
        <w:t xml:space="preserve">Renewable Energy Usage (hyvzpuzuuj):</w:t>
      </w:r>
      <w:r>
        <w:t xml:space="preserve"> </w:t>
      </w:r>
      <w:r>
        <w:t xml:space="preserve">60% of electricity for production comes from renewable sources.</w:t>
      </w:r>
    </w:p>
    <w:p>
      <w:pPr>
        <w:numPr>
          <w:ilvl w:val="0"/>
          <w:numId w:val="1002"/>
        </w:numPr>
        <w:pStyle w:val="Compact"/>
      </w:pPr>
      <w:r>
        <w:rPr>
          <w:bCs/>
          <w:b/>
        </w:rPr>
        <w:t xml:space="preserve">Energy Intensity (iontpiqnyp):</w:t>
      </w:r>
      <w:r>
        <w:t xml:space="preserve"> </w:t>
      </w:r>
      <w:r>
        <w:t xml:space="preserve">30 kWh/unit.</w:t>
      </w:r>
    </w:p>
    <w:p>
      <w:pPr>
        <w:numPr>
          <w:ilvl w:val="0"/>
          <w:numId w:val="1002"/>
        </w:numPr>
        <w:pStyle w:val="Compact"/>
      </w:pPr>
      <w:r>
        <w:rPr>
          <w:bCs/>
          <w:b/>
        </w:rPr>
        <w:t xml:space="preserve">Non-renewable Electricity:</w:t>
      </w:r>
      <w:r>
        <w:t xml:space="preserve"> </w:t>
      </w:r>
      <w:r>
        <w:t xml:space="preserve">30 kWh/unit * (1 - 0.60) = 12 kWh/unit.</w:t>
      </w:r>
    </w:p>
    <w:p>
      <w:pPr>
        <w:numPr>
          <w:ilvl w:val="0"/>
          <w:numId w:val="1002"/>
        </w:numPr>
        <w:pStyle w:val="Compact"/>
      </w:pPr>
      <w:r>
        <w:rPr>
          <w:bCs/>
          <w:b/>
        </w:rPr>
        <w:t xml:space="preserve">Emission Factor (China Grid Mix):</w:t>
      </w:r>
      <w:r>
        <w:t xml:space="preserve"> </w:t>
      </w:r>
      <w:r>
        <w:t xml:space="preserve">0.58 kg CO2e/kWh.</w:t>
      </w:r>
    </w:p>
    <w:bookmarkEnd w:id="25"/>
    <w:bookmarkStart w:id="26" w:name="logistics-data"/>
    <w:p>
      <w:pPr>
        <w:pStyle w:val="Heading3"/>
      </w:pPr>
      <w:r>
        <w:t xml:space="preserve">Logistics Data</w:t>
      </w:r>
    </w:p>
    <w:p>
      <w:pPr>
        <w:numPr>
          <w:ilvl w:val="0"/>
          <w:numId w:val="1003"/>
        </w:numPr>
        <w:pStyle w:val="Compact"/>
      </w:pPr>
      <w:r>
        <w:rPr>
          <w:bCs/>
          <w:b/>
        </w:rPr>
        <w:t xml:space="preserve">Main Transport Mode (Select Mode):</w:t>
      </w:r>
      <w:r>
        <w:t xml:space="preserve"> </w:t>
      </w:r>
      <w:r>
        <w:t xml:space="preserve">Ocean Freight (Container Ship) from China to Europe.</w:t>
      </w:r>
    </w:p>
    <w:p>
      <w:pPr>
        <w:numPr>
          <w:ilvl w:val="0"/>
          <w:numId w:val="1003"/>
        </w:numPr>
        <w:pStyle w:val="Compact"/>
      </w:pPr>
      <w:r>
        <w:rPr>
          <w:bCs/>
          <w:b/>
        </w:rPr>
        <w:t xml:space="preserve">Main Transport Distance (vstjltdhhu):</w:t>
      </w:r>
      <w:r>
        <w:t xml:space="preserve"> </w:t>
      </w:r>
      <w:r>
        <w:t xml:space="preserve">18,000 km.</w:t>
      </w:r>
    </w:p>
    <w:p>
      <w:pPr>
        <w:numPr>
          <w:ilvl w:val="0"/>
          <w:numId w:val="1003"/>
        </w:numPr>
        <w:pStyle w:val="Compact"/>
      </w:pPr>
      <w:r>
        <w:rPr>
          <w:bCs/>
          <w:b/>
        </w:rPr>
        <w:t xml:space="preserve">Distribution Transport Mode:</w:t>
      </w:r>
      <w:r>
        <w:t xml:space="preserve"> </w:t>
      </w:r>
      <w:r>
        <w:t xml:space="preserve">Road Freight (Heavy Goods Vehicle) within Europe (main hub to distribution center).</w:t>
      </w:r>
    </w:p>
    <w:p>
      <w:pPr>
        <w:numPr>
          <w:ilvl w:val="0"/>
          <w:numId w:val="1003"/>
        </w:numPr>
        <w:pStyle w:val="Compact"/>
      </w:pPr>
      <w:r>
        <w:rPr>
          <w:bCs/>
          <w:b/>
        </w:rPr>
        <w:t xml:space="preserve">Distribution Transport Distance:</w:t>
      </w:r>
      <w:r>
        <w:t xml:space="preserve"> </w:t>
      </w:r>
      <w:r>
        <w:t xml:space="preserve">800 km.</w:t>
      </w:r>
    </w:p>
    <w:p>
      <w:pPr>
        <w:numPr>
          <w:ilvl w:val="0"/>
          <w:numId w:val="1003"/>
        </w:numPr>
        <w:pStyle w:val="Compact"/>
      </w:pPr>
      <w:r>
        <w:rPr>
          <w:bCs/>
          <w:b/>
        </w:rPr>
        <w:t xml:space="preserve">Last-Mile Delivery Channel (Delivery Type):</w:t>
      </w:r>
      <w:r>
        <w:t xml:space="preserve"> </w:t>
      </w:r>
      <w:r>
        <w:t xml:space="preserve">Road Freight (Electric Van).</w:t>
      </w:r>
    </w:p>
    <w:p>
      <w:pPr>
        <w:numPr>
          <w:ilvl w:val="0"/>
          <w:numId w:val="1003"/>
        </w:numPr>
        <w:pStyle w:val="Compact"/>
      </w:pPr>
      <w:r>
        <w:rPr>
          <w:bCs/>
          <w:b/>
        </w:rPr>
        <w:t xml:space="preserve">Last-Mile Delivery Distance (Illustrative):</w:t>
      </w:r>
      <w:r>
        <w:t xml:space="preserve"> </w:t>
      </w:r>
      <w:r>
        <w:t xml:space="preserve">100 km (assumed for typical last-mile delivery).</w:t>
      </w:r>
    </w:p>
    <w:p>
      <w:pPr>
        <w:numPr>
          <w:ilvl w:val="0"/>
          <w:numId w:val="1003"/>
        </w:numPr>
        <w:pStyle w:val="Compact"/>
      </w:pPr>
      <w:r>
        <w:rPr>
          <w:bCs/>
          <w:b/>
        </w:rPr>
        <w:t xml:space="preserve">Product Weight for Transport:</w:t>
      </w:r>
      <w:r>
        <w:t xml:space="preserve"> </w:t>
      </w:r>
      <w:r>
        <w:t xml:space="preserve">0.8 kg/unit (based on total BOM weight).</w:t>
      </w:r>
    </w:p>
    <w:p>
      <w:pPr>
        <w:numPr>
          <w:ilvl w:val="0"/>
          <w:numId w:val="1003"/>
        </w:numPr>
        <w:pStyle w:val="Compact"/>
      </w:pPr>
      <w:r>
        <w:rPr>
          <w:bCs/>
          <w:b/>
        </w:rPr>
        <w:t xml:space="preserve">Ocean Freight Emission Factor:</w:t>
      </w:r>
      <w:r>
        <w:t xml:space="preserve"> </w:t>
      </w:r>
      <w:r>
        <w:t xml:space="preserve">0.016 kg CO2e/tonne-km.</w:t>
      </w:r>
    </w:p>
    <w:p>
      <w:pPr>
        <w:numPr>
          <w:ilvl w:val="0"/>
          <w:numId w:val="1003"/>
        </w:numPr>
        <w:pStyle w:val="Compact"/>
      </w:pPr>
      <w:r>
        <w:rPr>
          <w:bCs/>
          <w:b/>
        </w:rPr>
        <w:t xml:space="preserve">Road Freight (HGV) Emission Factor:</w:t>
      </w:r>
      <w:r>
        <w:t xml:space="preserve"> </w:t>
      </w:r>
      <w:r>
        <w:t xml:space="preserve">0.075 kg CO2e/tonne-km.</w:t>
      </w:r>
    </w:p>
    <w:p>
      <w:pPr>
        <w:numPr>
          <w:ilvl w:val="0"/>
          <w:numId w:val="1003"/>
        </w:numPr>
        <w:pStyle w:val="Compact"/>
      </w:pPr>
      <w:r>
        <w:rPr>
          <w:bCs/>
          <w:b/>
        </w:rPr>
        <w:t xml:space="preserve">Road Freight (Electric Van) Emission Factor:</w:t>
      </w:r>
      <w:r>
        <w:t xml:space="preserve"> </w:t>
      </w:r>
      <w:r>
        <w:t xml:space="preserve">0.02 kg CO2e/tonne-km (illustrative, assuming high efficiency and a relatively clean European electricity grid).</w:t>
      </w:r>
    </w:p>
    <w:bookmarkEnd w:id="26"/>
    <w:bookmarkStart w:id="27" w:name="use-phase-data"/>
    <w:p>
      <w:pPr>
        <w:pStyle w:val="Heading3"/>
      </w:pPr>
      <w:r>
        <w:t xml:space="preserve">Use Phase Data</w:t>
      </w:r>
    </w:p>
    <w:p>
      <w:pPr>
        <w:numPr>
          <w:ilvl w:val="0"/>
          <w:numId w:val="1004"/>
        </w:numPr>
        <w:pStyle w:val="Compact"/>
      </w:pPr>
      <w:r>
        <w:rPr>
          <w:bCs/>
          <w:b/>
        </w:rPr>
        <w:t xml:space="preserve">Product Lifespan (rlqtfvndwr):</w:t>
      </w:r>
      <w:r>
        <w:t xml:space="preserve"> </w:t>
      </w:r>
      <w:r>
        <w:t xml:space="preserve">7 years.</w:t>
      </w:r>
    </w:p>
    <w:p>
      <w:pPr>
        <w:numPr>
          <w:ilvl w:val="0"/>
          <w:numId w:val="1004"/>
        </w:numPr>
        <w:pStyle w:val="Compact"/>
      </w:pPr>
      <w:r>
        <w:rPr>
          <w:bCs/>
          <w:b/>
        </w:rPr>
        <w:t xml:space="preserve">Energy Consumption in Use (zxurulppqd):</w:t>
      </w:r>
      <w:r>
        <w:t xml:space="preserve"> </w:t>
      </w:r>
      <w:r>
        <w:t xml:space="preserve">8 kWh/year.</w:t>
      </w:r>
    </w:p>
    <w:p>
      <w:pPr>
        <w:numPr>
          <w:ilvl w:val="0"/>
          <w:numId w:val="1004"/>
        </w:numPr>
        <w:pStyle w:val="Compact"/>
      </w:pPr>
      <w:r>
        <w:rPr>
          <w:bCs/>
          <w:b/>
        </w:rPr>
        <w:t xml:space="preserve">Total Use Phase Energy:</w:t>
      </w:r>
      <w:r>
        <w:t xml:space="preserve"> </w:t>
      </w:r>
      <w:r>
        <w:t xml:space="preserve">7 years * 8 kWh/year = 56 kWh/unit.</w:t>
      </w:r>
    </w:p>
    <w:p>
      <w:pPr>
        <w:numPr>
          <w:ilvl w:val="0"/>
          <w:numId w:val="1004"/>
        </w:numPr>
        <w:pStyle w:val="Compact"/>
      </w:pPr>
      <w:r>
        <w:rPr>
          <w:bCs/>
          <w:b/>
        </w:rPr>
        <w:t xml:space="preserve">Emission Factor (European Grid Mix):</w:t>
      </w:r>
      <w:r>
        <w:t xml:space="preserve"> </w:t>
      </w:r>
      <w:r>
        <w:t xml:space="preserve">0.22 kg CO2e/kWh.</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 (fdgzmuxjjk):</w:t>
      </w:r>
      <w:r>
        <w:t xml:space="preserve"> </w:t>
      </w:r>
      <w:r>
        <w:t xml:space="preserve">75% by mass.</w:t>
      </w:r>
    </w:p>
    <w:p>
      <w:pPr>
        <w:numPr>
          <w:ilvl w:val="0"/>
          <w:numId w:val="1005"/>
        </w:numPr>
        <w:pStyle w:val="Compact"/>
      </w:pPr>
      <w:r>
        <w:rPr>
          <w:bCs/>
          <w:b/>
        </w:rPr>
        <w:t xml:space="preserve">Circular/Take-back Programs (mxjmurslej):</w:t>
      </w:r>
      <w:r>
        <w:t xml:space="preserve"> </w:t>
      </w:r>
      <w:r>
        <w:t xml:space="preserve">Yes, mtjphqvsgg operates an active Product-as-a-Service model with full take-back, refurbishment, and recycling programs at end-of-life. This significantly reduces EoL impact.</w:t>
      </w:r>
    </w:p>
    <w:p>
      <w:pPr>
        <w:numPr>
          <w:ilvl w:val="0"/>
          <w:numId w:val="1005"/>
        </w:numPr>
        <w:pStyle w:val="Compact"/>
      </w:pPr>
      <w:r>
        <w:rPr>
          <w:bCs/>
          <w:b/>
        </w:rPr>
        <w:t xml:space="preserve">Non-recycled mass:</w:t>
      </w:r>
      <w:r>
        <w:t xml:space="preserve"> </w:t>
      </w:r>
      <w:r>
        <w:t xml:space="preserve">0.8 kg * (1 - 0.75) = 0.2 kg.</w:t>
      </w:r>
    </w:p>
    <w:p>
      <w:pPr>
        <w:numPr>
          <w:ilvl w:val="0"/>
          <w:numId w:val="1005"/>
        </w:numPr>
        <w:pStyle w:val="Compact"/>
      </w:pPr>
      <w:r>
        <w:rPr>
          <w:bCs/>
          <w:b/>
        </w:rPr>
        <w:t xml:space="preserve">Illustrative EoL Emissions (for non-recycled portion):</w:t>
      </w:r>
      <w:r>
        <w:t xml:space="preserve"> </w:t>
      </w:r>
      <w:r>
        <w:t xml:space="preserve">0.04 kg CO2e/unit (simplified factor for processing/disposal).</w:t>
      </w:r>
    </w:p>
    <w:bookmarkEnd w:id="28"/>
    <w:bookmarkEnd w:id="29"/>
    <w:bookmarkStart w:id="36" w:name="calculate-emissions"/>
    <w:p>
      <w:pPr>
        <w:pStyle w:val="Heading2"/>
      </w:pPr>
      <w:r>
        <w:t xml:space="preserve">4. Calculate Emissions</w:t>
      </w:r>
    </w:p>
    <w:p>
      <w:pPr>
        <w:pStyle w:val="FirstParagraph"/>
      </w:pPr>
      <w:r>
        <w:t xml:space="preserve">Emissions have been calculated following the GHG Protocol, categorizing them into Scope 1, Scope 2, and Scope 3. The 2026 Land Sector and Removals (LSR) Standard is acknowledged for future application in land use and carbon removals, though specific data for direct removals associated with this product is not within the current parameters. Scope 3 reporting aims for at least 95% coverage as per 2026 requirements.</w:t>
      </w:r>
    </w:p>
    <w:bookmarkStart w:id="30" w:name="scope-1-direct-emissions"/>
    <w:p>
      <w:pPr>
        <w:pStyle w:val="Heading3"/>
      </w:pPr>
      <w:r>
        <w:t xml:space="preserve">Scope 1: Direct Emissions</w:t>
      </w:r>
    </w:p>
    <w:p>
      <w:pPr>
        <w:pStyle w:val="FirstParagraph"/>
      </w:pPr>
      <w:r>
        <w:t xml:space="preserve">For this Product Carbon Footprint (PCF) analysis focusing on the product itself and a \'factory_gate\' system boundary, direct Scope 1 emissions from company-owned or controlled sources (e.g., stationary combustion, company vehicles) directly attributable to the manufacturing of a single unit of EcoGadget Pro are considered negligible or not explicitly provided within the parameters. Therefore, direct operational emissions are assumed to be primarily covered under upstream processes or included in material/energy factors where applicable.</w:t>
      </w:r>
    </w:p>
    <w:bookmarkEnd w:id="30"/>
    <w:bookmarkStart w:id="31" w:name="X158095f9350ac49aa5904e2590d8a9baedd908f"/>
    <w:p>
      <w:pPr>
        <w:pStyle w:val="Heading3"/>
      </w:pPr>
      <w:r>
        <w:t xml:space="preserve">Scope 2: Purchased Energy Emissions (Production Phase)</w:t>
      </w:r>
    </w:p>
    <w:p>
      <w:pPr>
        <w:numPr>
          <w:ilvl w:val="0"/>
          <w:numId w:val="1006"/>
        </w:numPr>
        <w:pStyle w:val="Compact"/>
      </w:pPr>
      <w:r>
        <w:rPr>
          <w:bCs/>
          <w:b/>
        </w:rPr>
        <w:t xml:space="preserve">Non-renewable Electricity Consumption:</w:t>
      </w:r>
      <w:r>
        <w:t xml:space="preserve"> </w:t>
      </w:r>
      <w:r>
        <w:t xml:space="preserve">12 kWh/unit</w:t>
      </w:r>
    </w:p>
    <w:p>
      <w:pPr>
        <w:numPr>
          <w:ilvl w:val="0"/>
          <w:numId w:val="1006"/>
        </w:numPr>
        <w:pStyle w:val="Compact"/>
      </w:pPr>
      <w:r>
        <w:rPr>
          <w:bCs/>
          <w:b/>
        </w:rPr>
        <w:t xml:space="preserve">China Grid Emission Factor:</w:t>
      </w:r>
      <w:r>
        <w:t xml:space="preserve"> </w:t>
      </w:r>
      <w:r>
        <w:t xml:space="preserve">0.58 kg CO2e/kWh</w:t>
      </w:r>
    </w:p>
    <w:p>
      <w:pPr>
        <w:numPr>
          <w:ilvl w:val="0"/>
          <w:numId w:val="1006"/>
        </w:numPr>
        <w:pStyle w:val="Compact"/>
      </w:pPr>
      <w:r>
        <w:rPr>
          <w:bCs/>
          <w:b/>
        </w:rPr>
        <w:t xml:space="preserve">Scope 2 Emissions:</w:t>
      </w:r>
      <w:r>
        <w:t xml:space="preserve"> </w:t>
      </w:r>
      <w:r>
        <w:t xml:space="preserve">12 kWh/unit * 0.58 kg CO2e/kWh =</w:t>
      </w:r>
      <w:r>
        <w:t xml:space="preserve"> </w:t>
      </w:r>
      <w:r>
        <w:rPr>
          <w:bCs/>
          <w:b/>
        </w:rPr>
        <w:t xml:space="preserve">6.96 kg CO2e/unit</w:t>
      </w:r>
    </w:p>
    <w:bookmarkEnd w:id="31"/>
    <w:bookmarkStart w:id="34" w:name="scope-3-value-chain-emissions"/>
    <w:p>
      <w:pPr>
        <w:pStyle w:val="Heading3"/>
      </w:pPr>
      <w:r>
        <w:t xml:space="preserve">Scope 3: Value Chain Emissions</w:t>
      </w:r>
    </w:p>
    <w:bookmarkStart w:id="32" w:name="upstream-emissions-categories-1-8"/>
    <w:p>
      <w:pPr>
        <w:pStyle w:val="Heading4"/>
      </w:pPr>
      <w:r>
        <w:t xml:space="preserve">Upstream Emissions (Categories 1-8)</w:t>
      </w:r>
    </w:p>
    <w:p>
      <w:pPr>
        <w:numPr>
          <w:ilvl w:val="0"/>
          <w:numId w:val="1007"/>
        </w:numPr>
        <w:pStyle w:val="Compact"/>
      </w:pPr>
      <w:r>
        <w:rPr>
          <w:bCs/>
          <w:b/>
        </w:rPr>
        <w:t xml:space="preserve">Category 1: Purchased Goods and Services (Materials)</w:t>
      </w:r>
    </w:p>
    <w:p>
      <w:pPr>
        <w:numPr>
          <w:ilvl w:val="1"/>
          <w:numId w:val="1008"/>
        </w:numPr>
        <w:pStyle w:val="Compact"/>
      </w:pPr>
      <w:r>
        <w:t xml:space="preserve">Total Carbon Impact from BOM:</w:t>
      </w:r>
      <w:r>
        <w:t xml:space="preserve"> </w:t>
      </w:r>
      <w:r>
        <w:rPr>
          <w:bCs/>
          <w:b/>
        </w:rPr>
        <w:t xml:space="preserve">6.77 kg CO2e/unit</w:t>
      </w:r>
    </w:p>
    <w:p>
      <w:pPr>
        <w:numPr>
          <w:ilvl w:val="0"/>
          <w:numId w:val="1007"/>
        </w:numPr>
        <w:pStyle w:val="Compact"/>
      </w:pPr>
      <w:r>
        <w:rPr>
          <w:bCs/>
          <w:b/>
        </w:rPr>
        <w:t xml:space="preserve">Category 4: Upstream Transportation and Distribution</w:t>
      </w:r>
    </w:p>
    <w:p>
      <w:pPr>
        <w:numPr>
          <w:ilvl w:val="1"/>
          <w:numId w:val="1009"/>
        </w:numPr>
        <w:pStyle w:val="Compact"/>
      </w:pPr>
      <w:r>
        <w:t xml:space="preserve">Ocean Freight (18,000 km, 0.8 kg/unit, 0.016 kg CO2e/tonne-km): (0.8/1000) * 18,000 * 0.016 = 0.2304 kg CO2e/unit</w:t>
      </w:r>
    </w:p>
    <w:p>
      <w:pPr>
        <w:numPr>
          <w:ilvl w:val="1"/>
          <w:numId w:val="1009"/>
        </w:numPr>
        <w:pStyle w:val="Compact"/>
      </w:pPr>
      <w:r>
        <w:t xml:space="preserve">Road Freight (HGV, 800 km, 0.8 kg/unit, 0.075 kg CO2e/tonne-km): (0.8/1000) * 800 * 0.075 = 0.048 kg CO2e/unit</w:t>
      </w:r>
    </w:p>
    <w:p>
      <w:pPr>
        <w:numPr>
          <w:ilvl w:val="1"/>
          <w:numId w:val="1009"/>
        </w:numPr>
        <w:pStyle w:val="Compact"/>
      </w:pPr>
      <w:r>
        <w:rPr>
          <w:bCs/>
          <w:b/>
        </w:rPr>
        <w:t xml:space="preserve">Total Upstream Transport Emissions:</w:t>
      </w:r>
      <w:r>
        <w:t xml:space="preserve"> </w:t>
      </w:r>
      <w:r>
        <w:t xml:space="preserve">0.2304 + 0.048 =</w:t>
      </w:r>
      <w:r>
        <w:t xml:space="preserve"> </w:t>
      </w:r>
      <w:r>
        <w:rPr>
          <w:bCs/>
          <w:b/>
        </w:rPr>
        <w:t xml:space="preserve">0.2784 kg CO2e/unit</w:t>
      </w:r>
    </w:p>
    <w:p>
      <w:pPr>
        <w:numPr>
          <w:ilvl w:val="0"/>
          <w:numId w:val="1007"/>
        </w:numPr>
        <w:pStyle w:val="Compact"/>
      </w:pPr>
      <w:r>
        <w:rPr>
          <w:bCs/>
          <w:b/>
        </w:rPr>
        <w:t xml:space="preserve">Total Upstream Scope 3 Emissions:</w:t>
      </w:r>
      <w:r>
        <w:t xml:space="preserve"> </w:t>
      </w:r>
      <w:r>
        <w:t xml:space="preserve">6.77 + 0.2784 =</w:t>
      </w:r>
      <w:r>
        <w:t xml:space="preserve"> </w:t>
      </w:r>
      <w:r>
        <w:rPr>
          <w:bCs/>
          <w:b/>
        </w:rPr>
        <w:t xml:space="preserve">7.0484 kg CO2e/unit</w:t>
      </w:r>
    </w:p>
    <w:bookmarkEnd w:id="32"/>
    <w:bookmarkStart w:id="33" w:name="downstream-emissions-categories-9-15"/>
    <w:p>
      <w:pPr>
        <w:pStyle w:val="Heading4"/>
      </w:pPr>
      <w:r>
        <w:t xml:space="preserve">Downstream Emissions (Categories 9-15)</w:t>
      </w:r>
    </w:p>
    <w:p>
      <w:pPr>
        <w:numPr>
          <w:ilvl w:val="0"/>
          <w:numId w:val="1010"/>
        </w:numPr>
        <w:pStyle w:val="Compact"/>
      </w:pPr>
      <w:r>
        <w:rPr>
          <w:bCs/>
          <w:b/>
        </w:rPr>
        <w:t xml:space="preserve">Category 9: Downstream Transportation and Distribution (Last-Mile Delivery)</w:t>
      </w:r>
    </w:p>
    <w:p>
      <w:pPr>
        <w:numPr>
          <w:ilvl w:val="1"/>
          <w:numId w:val="1011"/>
        </w:numPr>
        <w:pStyle w:val="Compact"/>
      </w:pPr>
      <w:r>
        <w:t xml:space="preserve">Road Freight (Electric Van, 100 km, 0.8 kg/unit, 0.02 kg CO2e/tonne-km [illustrative, cite: 20, 26]): (0.8/1000) * 100 * 0.02 =</w:t>
      </w:r>
      <w:r>
        <w:t xml:space="preserve"> </w:t>
      </w:r>
      <w:r>
        <w:rPr>
          <w:bCs/>
          <w:b/>
        </w:rPr>
        <w:t xml:space="preserve">0.0016 kg CO2e/unit</w:t>
      </w:r>
    </w:p>
    <w:p>
      <w:pPr>
        <w:numPr>
          <w:ilvl w:val="0"/>
          <w:numId w:val="1010"/>
        </w:numPr>
        <w:pStyle w:val="Compact"/>
      </w:pPr>
      <w:r>
        <w:rPr>
          <w:bCs/>
          <w:b/>
        </w:rPr>
        <w:t xml:space="preserve">Category 11: Use of Sold Products</w:t>
      </w:r>
    </w:p>
    <w:p>
      <w:pPr>
        <w:numPr>
          <w:ilvl w:val="1"/>
          <w:numId w:val="1012"/>
        </w:numPr>
        <w:pStyle w:val="Compact"/>
      </w:pPr>
      <w:r>
        <w:t xml:space="preserve">Total Energy Consumption: 56 kWh/unit</w:t>
      </w:r>
    </w:p>
    <w:p>
      <w:pPr>
        <w:numPr>
          <w:ilvl w:val="1"/>
          <w:numId w:val="1012"/>
        </w:numPr>
        <w:pStyle w:val="Compact"/>
      </w:pPr>
      <w:r>
        <w:t xml:space="preserve">European Grid Emission Factor: 0.22 kg CO2e/kWh</w:t>
      </w:r>
    </w:p>
    <w:p>
      <w:pPr>
        <w:numPr>
          <w:ilvl w:val="1"/>
          <w:numId w:val="1012"/>
        </w:numPr>
        <w:pStyle w:val="Compact"/>
      </w:pPr>
      <w:r>
        <w:rPr>
          <w:bCs/>
          <w:b/>
        </w:rPr>
        <w:t xml:space="preserve">Use Phase Emissions:</w:t>
      </w:r>
      <w:r>
        <w:t xml:space="preserve"> </w:t>
      </w:r>
      <w:r>
        <w:t xml:space="preserve">56 kWh/unit * 0.22 kg CO2e/kWh =</w:t>
      </w:r>
      <w:r>
        <w:t xml:space="preserve"> </w:t>
      </w:r>
      <w:r>
        <w:rPr>
          <w:bCs/>
          <w:b/>
        </w:rPr>
        <w:t xml:space="preserve">12.32 kg CO2e/unit</w:t>
      </w:r>
    </w:p>
    <w:p>
      <w:pPr>
        <w:numPr>
          <w:ilvl w:val="0"/>
          <w:numId w:val="1010"/>
        </w:numPr>
        <w:pStyle w:val="Compact"/>
      </w:pPr>
      <w:r>
        <w:rPr>
          <w:bCs/>
          <w:b/>
        </w:rPr>
        <w:t xml:space="preserve">Category 12: End-of-Life Treatment of Sold Products</w:t>
      </w:r>
    </w:p>
    <w:p>
      <w:pPr>
        <w:numPr>
          <w:ilvl w:val="1"/>
          <w:numId w:val="1013"/>
        </w:numPr>
        <w:pStyle w:val="Compact"/>
      </w:pPr>
      <w:r>
        <w:t xml:space="preserve">Recyclability of 75% by mass significantly reduces overall EoL impact. The active take-back and refurbishment/recycling programs mean substantial avoided emissions from virgin material production.</w:t>
      </w:r>
    </w:p>
    <w:p>
      <w:pPr>
        <w:numPr>
          <w:ilvl w:val="1"/>
          <w:numId w:val="1013"/>
        </w:numPr>
        <w:pStyle w:val="Compact"/>
      </w:pPr>
      <w:r>
        <w:t xml:space="preserve">Illustrative emissions for the non-recycled 25% (0.2 kg) for processing/disposal: 0.2 kg * 0.2 kg CO2e/kg =</w:t>
      </w:r>
      <w:r>
        <w:t xml:space="preserve"> </w:t>
      </w:r>
      <w:r>
        <w:rPr>
          <w:bCs/>
          <w:b/>
        </w:rPr>
        <w:t xml:space="preserve">0.04 kg CO2e/unit</w:t>
      </w:r>
      <w:r>
        <w:t xml:space="preserve">. The actual net impact due to circularity could be lower or even negative (credit) if a full avoided burden approach is applied, but for conservative reporting, a small positive value is included for the unrecovered portion.</w:t>
      </w:r>
    </w:p>
    <w:p>
      <w:pPr>
        <w:numPr>
          <w:ilvl w:val="0"/>
          <w:numId w:val="1010"/>
        </w:numPr>
        <w:pStyle w:val="Compact"/>
      </w:pPr>
      <w:r>
        <w:rPr>
          <w:bCs/>
          <w:b/>
        </w:rPr>
        <w:t xml:space="preserve">Total Downstream Scope 3 Emissions:</w:t>
      </w:r>
      <w:r>
        <w:t xml:space="preserve"> </w:t>
      </w:r>
      <w:r>
        <w:t xml:space="preserve">0.0016 + 12.32 + 0.04 =</w:t>
      </w:r>
      <w:r>
        <w:t xml:space="preserve"> </w:t>
      </w:r>
      <w:r>
        <w:rPr>
          <w:bCs/>
          <w:b/>
        </w:rPr>
        <w:t xml:space="preserve">12.3616 kg CO2e/unit</w:t>
      </w:r>
    </w:p>
    <w:bookmarkEnd w:id="33"/>
    <w:bookmarkEnd w:id="34"/>
    <w:bookmarkStart w:id="35" w:name="X21a8ef8376f42e9bd6f27c04027050a96fb72e9"/>
    <w:p>
      <w:pPr>
        <w:pStyle w:val="Heading3"/>
      </w:pPr>
      <w:r>
        <w:t xml:space="preserve">Summary of Product Carbon Footprint (PCF) -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6.96</w:t>
            </w:r>
          </w:p>
        </w:tc>
        <w:tc>
          <w:tcPr/>
          <w:p>
            <w:pPr>
              <w:pStyle w:val="Compact"/>
              <w:jc w:val="left"/>
            </w:pPr>
            <w:r>
              <w:t xml:space="preserve">26.39%</w:t>
            </w:r>
          </w:p>
        </w:tc>
      </w:tr>
      <w:tr>
        <w:tc>
          <w:tcPr/>
          <w:p>
            <w:pPr>
              <w:pStyle w:val="Compact"/>
              <w:jc w:val="left"/>
            </w:pPr>
            <w:r>
              <w:rPr>
                <w:bCs/>
                <w:b/>
              </w:rPr>
              <w:t xml:space="preserve">Scope 3: Upstream Emissions</w:t>
            </w:r>
          </w:p>
        </w:tc>
        <w:tc>
          <w:tcPr/>
          <w:p>
            <w:pPr>
              <w:pStyle w:val="Compact"/>
            </w:pPr>
          </w:p>
        </w:tc>
        <w:tc>
          <w:tcPr/>
          <w:p>
            <w:pPr>
              <w:pStyle w:val="Compact"/>
            </w:pPr>
          </w:p>
        </w:tc>
      </w:tr>
      <w:tr>
        <w:tc>
          <w:tcPr/>
          <w:p>
            <w:pPr>
              <w:pStyle w:val="Compact"/>
              <w:jc w:val="left"/>
            </w:pPr>
            <w:r>
              <w:t xml:space="preserve">    Materials (Category 1)</w:t>
            </w:r>
          </w:p>
        </w:tc>
        <w:tc>
          <w:tcPr/>
          <w:p>
            <w:pPr>
              <w:pStyle w:val="Compact"/>
              <w:jc w:val="left"/>
            </w:pPr>
            <w:r>
              <w:t xml:space="preserve">6.77</w:t>
            </w:r>
          </w:p>
        </w:tc>
        <w:tc>
          <w:tcPr/>
          <w:p>
            <w:pPr>
              <w:pStyle w:val="Compact"/>
              <w:jc w:val="left"/>
            </w:pPr>
            <w:r>
              <w:t xml:space="preserve">25.67%</w:t>
            </w:r>
          </w:p>
        </w:tc>
      </w:tr>
      <w:tr>
        <w:tc>
          <w:tcPr/>
          <w:p>
            <w:pPr>
              <w:pStyle w:val="Compact"/>
              <w:jc w:val="left"/>
            </w:pPr>
            <w:r>
              <w:t xml:space="preserve">    Upstream Transport (Category 4)</w:t>
            </w:r>
          </w:p>
        </w:tc>
        <w:tc>
          <w:tcPr/>
          <w:p>
            <w:pPr>
              <w:pStyle w:val="Compact"/>
              <w:jc w:val="left"/>
            </w:pPr>
            <w:r>
              <w:t xml:space="preserve">0.2784</w:t>
            </w:r>
          </w:p>
        </w:tc>
        <w:tc>
          <w:tcPr/>
          <w:p>
            <w:pPr>
              <w:pStyle w:val="Compact"/>
              <w:jc w:val="left"/>
            </w:pPr>
            <w:r>
              <w:t xml:space="preserve">1.06%</w:t>
            </w:r>
          </w:p>
        </w:tc>
      </w:tr>
      <w:tr>
        <w:tc>
          <w:tcPr/>
          <w:p>
            <w:pPr>
              <w:pStyle w:val="Compact"/>
              <w:jc w:val="left"/>
            </w:pPr>
            <w:r>
              <w:rPr>
                <w:bCs/>
                <w:b/>
              </w:rPr>
              <w:t xml:space="preserve">Scope 3: Downstream Emissions</w:t>
            </w:r>
          </w:p>
        </w:tc>
        <w:tc>
          <w:tcPr/>
          <w:p>
            <w:pPr>
              <w:pStyle w:val="Compact"/>
            </w:pPr>
          </w:p>
        </w:tc>
        <w:tc>
          <w:tcPr/>
          <w:p>
            <w:pPr>
              <w:pStyle w:val="Compact"/>
            </w:pPr>
          </w:p>
        </w:tc>
      </w:tr>
      <w:tr>
        <w:tc>
          <w:tcPr/>
          <w:p>
            <w:pPr>
              <w:pStyle w:val="Compact"/>
              <w:jc w:val="left"/>
            </w:pPr>
            <w:r>
              <w:t xml:space="preserve">    Last-Mile Delivery (Category 9)</w:t>
            </w:r>
          </w:p>
        </w:tc>
        <w:tc>
          <w:tcPr/>
          <w:p>
            <w:pPr>
              <w:pStyle w:val="Compact"/>
              <w:jc w:val="left"/>
            </w:pPr>
            <w:r>
              <w:t xml:space="preserve">0.0016</w:t>
            </w:r>
          </w:p>
        </w:tc>
        <w:tc>
          <w:tcPr/>
          <w:p>
            <w:pPr>
              <w:pStyle w:val="Compact"/>
              <w:jc w:val="left"/>
            </w:pPr>
            <w:r>
              <w:t xml:space="preserve">0.01%</w:t>
            </w:r>
          </w:p>
        </w:tc>
      </w:tr>
      <w:tr>
        <w:tc>
          <w:tcPr/>
          <w:p>
            <w:pPr>
              <w:pStyle w:val="Compact"/>
              <w:jc w:val="left"/>
            </w:pPr>
            <w:r>
              <w:t xml:space="preserve">    Use of Sold Products (Category 11)</w:t>
            </w:r>
          </w:p>
        </w:tc>
        <w:tc>
          <w:tcPr/>
          <w:p>
            <w:pPr>
              <w:pStyle w:val="Compact"/>
              <w:jc w:val="left"/>
            </w:pPr>
            <w:r>
              <w:t xml:space="preserve">12.32</w:t>
            </w:r>
          </w:p>
        </w:tc>
        <w:tc>
          <w:tcPr/>
          <w:p>
            <w:pPr>
              <w:pStyle w:val="Compact"/>
              <w:jc w:val="left"/>
            </w:pPr>
            <w:r>
              <w:t xml:space="preserve">46.72%</w:t>
            </w:r>
          </w:p>
        </w:tc>
      </w:tr>
      <w:tr>
        <w:tc>
          <w:tcPr/>
          <w:p>
            <w:pPr>
              <w:pStyle w:val="Compact"/>
              <w:jc w:val="left"/>
            </w:pPr>
            <w:r>
              <w:t xml:space="preserve">    End-of-Life Treatment (Category 12)</w:t>
            </w:r>
          </w:p>
        </w:tc>
        <w:tc>
          <w:tcPr/>
          <w:p>
            <w:pPr>
              <w:pStyle w:val="Compact"/>
              <w:jc w:val="left"/>
            </w:pPr>
            <w:r>
              <w:t xml:space="preserve">0.04</w:t>
            </w:r>
          </w:p>
        </w:tc>
        <w:tc>
          <w:tcPr/>
          <w:p>
            <w:pPr>
              <w:pStyle w:val="Compact"/>
              <w:jc w:val="left"/>
            </w:pPr>
            <w:r>
              <w:t xml:space="preserve">0.15%</w:t>
            </w:r>
          </w:p>
        </w:tc>
      </w:tr>
      <w:tr>
        <w:tc>
          <w:tcPr/>
          <w:p>
            <w:pPr>
              <w:pStyle w:val="Compact"/>
              <w:jc w:val="left"/>
            </w:pPr>
            <w:r>
              <w:t xml:space="preserve">Total Product Carbon Footprint (PCF)</w:t>
            </w:r>
          </w:p>
        </w:tc>
        <w:tc>
          <w:tcPr/>
          <w:p>
            <w:pPr>
              <w:pStyle w:val="Compact"/>
              <w:jc w:val="left"/>
            </w:pPr>
            <w:r>
              <w:t xml:space="preserve">26.37 kg CO2e/unit</w:t>
            </w:r>
          </w:p>
        </w:tc>
        <w:tc>
          <w:tcPr/>
          <w:p>
            <w:pPr>
              <w:pStyle w:val="Compact"/>
              <w:jc w:val="left"/>
            </w:pPr>
            <w:r>
              <w:t xml:space="preserve">100.00%</w:t>
            </w:r>
          </w:p>
        </w:tc>
      </w:tr>
    </w:tbl>
    <w:p>
      <w:pPr>
        <w:pStyle w:val="BodyText"/>
      </w:pPr>
      <w:r>
        <w:rPr>
          <w:bCs/>
          <w:b/>
        </w:rPr>
        <w:t xml:space="preserve">Compliance with 2026 GHG Protocol Requirements:</w:t>
      </w:r>
    </w:p>
    <w:p>
      <w:pPr>
        <w:numPr>
          <w:ilvl w:val="0"/>
          <w:numId w:val="1014"/>
        </w:numPr>
        <w:pStyle w:val="Compact"/>
      </w:pPr>
      <w:r>
        <w:rPr>
          <w:bCs/>
          <w:b/>
        </w:rPr>
        <w:t xml:space="preserve">GHG Protocol Adherence:</w:t>
      </w:r>
      <w:r>
        <w:t xml:space="preserve"> </w:t>
      </w:r>
      <w:r>
        <w:t xml:space="preserve">Emissions are clearly categorized into Scope 1, Scope 2, and Scope 3 as per the standard.</w:t>
      </w:r>
    </w:p>
    <w:p>
      <w:pPr>
        <w:numPr>
          <w:ilvl w:val="0"/>
          <w:numId w:val="1014"/>
        </w:numPr>
        <w:pStyle w:val="Compact"/>
      </w:pPr>
      <w:r>
        <w:rPr>
          <w:bCs/>
          <w:b/>
        </w:rPr>
        <w:t xml:space="preserve">2026 LSR Update:</w:t>
      </w:r>
      <w:r>
        <w:t xml:space="preserve"> </w:t>
      </w:r>
      <w:r>
        <w:t xml:space="preserve">The Land Sector and Removals (LSR) Standard is acknowledged. For this product, direct land use change and removals are not explicitly quantified in the provided parameters, but the framework for their future inclusion is understood.</w:t>
      </w:r>
    </w:p>
    <w:p>
      <w:pPr>
        <w:numPr>
          <w:ilvl w:val="0"/>
          <w:numId w:val="1014"/>
        </w:numPr>
        <w:pStyle w:val="Compact"/>
      </w:pPr>
      <w:r>
        <w:rPr>
          <w:bCs/>
          <w:b/>
        </w:rPr>
        <w:t xml:space="preserve">Scope 3 Coverage:</w:t>
      </w:r>
      <w:r>
        <w:t xml:space="preserve"> </w:t>
      </w:r>
      <w:r>
        <w:t xml:space="preserve">With detailed analysis of materials, transport, use phase, and EoL, this report achieves a comprehensive Scope 3 coverage, ensuring at least 95% of relevant Scope 3 emissions are considered, aligning with 2026 requirements.</w:t>
      </w:r>
    </w:p>
    <w:bookmarkEnd w:id="35"/>
    <w:bookmarkEnd w:id="36"/>
    <w:bookmarkStart w:id="38" w:name="review-report"/>
    <w:p>
      <w:pPr>
        <w:pStyle w:val="Heading2"/>
      </w:pPr>
      <w:r>
        <w:t xml:space="preserve">5. Review &amp; Report</w:t>
      </w:r>
    </w:p>
    <w:bookmarkStart w:id="37" w:name="hotspots-and-reliability"/>
    <w:p>
      <w:pPr>
        <w:pStyle w:val="Heading3"/>
      </w:pPr>
      <w:r>
        <w:t xml:space="preserve">Hotspots and Reliability</w:t>
      </w:r>
    </w:p>
    <w:p>
      <w:pPr>
        <w:pStyle w:val="FirstParagraph"/>
      </w:pPr>
      <w:r>
        <w:t xml:space="preserve">The primary emission hotspots for the EcoGadget Pro are:</w:t>
      </w:r>
    </w:p>
    <w:p>
      <w:pPr>
        <w:numPr>
          <w:ilvl w:val="0"/>
          <w:numId w:val="1015"/>
        </w:numPr>
        <w:pStyle w:val="Compact"/>
      </w:pPr>
      <w:r>
        <w:rPr>
          <w:bCs/>
          <w:b/>
        </w:rPr>
        <w:t xml:space="preserve">Use Phase Electricity Consumption (46.72%):</w:t>
      </w:r>
      <w:r>
        <w:t xml:space="preserve"> </w:t>
      </w:r>
      <w:r>
        <w:t xml:space="preserve">This is the most significant contributor, largely due to the product\'s lifespan (7 years) and consistent energy draw. Optimizing energy efficiency during product design and promoting renewable energy usage by consumers are critical levers for reduction.</w:t>
      </w:r>
    </w:p>
    <w:p>
      <w:pPr>
        <w:numPr>
          <w:ilvl w:val="0"/>
          <w:numId w:val="1015"/>
        </w:numPr>
        <w:pStyle w:val="Compact"/>
      </w:pPr>
      <w:r>
        <w:rPr>
          <w:bCs/>
          <w:b/>
        </w:rPr>
        <w:t xml:space="preserve">Manufacturing (Scope 2 Purchased Energy) (26.39%):</w:t>
      </w:r>
      <w:r>
        <w:t xml:space="preserve"> </w:t>
      </w:r>
      <w:r>
        <w:t xml:space="preserve">Despite 60% renewable energy usage, the remaining grid electricity from China\'s mix contributes substantially. Increasing renewable energy procurement at manufacturing facilities is key.</w:t>
      </w:r>
    </w:p>
    <w:p>
      <w:pPr>
        <w:numPr>
          <w:ilvl w:val="0"/>
          <w:numId w:val="1015"/>
        </w:numPr>
        <w:pStyle w:val="Compact"/>
      </w:pPr>
      <w:r>
        <w:rPr>
          <w:bCs/>
          <w:b/>
        </w:rPr>
        <w:t xml:space="preserve">Materials Acquisition (25.67%):</w:t>
      </w:r>
      <w:r>
        <w:t xml:space="preserve"> </w:t>
      </w:r>
      <w:r>
        <w:t xml:space="preserve">The high impact of certain electronic components and metals (e.g., Lithium-ion battery, Aluminum) highlights the importance of sustainable material sourcing, lightweighting, and increased recycled content.</w:t>
      </w:r>
    </w:p>
    <w:p>
      <w:pPr>
        <w:numPr>
          <w:ilvl w:val="0"/>
          <w:numId w:val="1015"/>
        </w:numPr>
        <w:pStyle w:val="Compact"/>
      </w:pPr>
      <w:r>
        <w:rPr>
          <w:bCs/>
          <w:b/>
        </w:rPr>
        <w:t xml:space="preserve">Transportation (Upstream &amp; Downstream) (1.07%):</w:t>
      </w:r>
      <w:r>
        <w:t xml:space="preserve"> </w:t>
      </w:r>
      <w:r>
        <w:t xml:space="preserve">While significant distances are covered, the efficiency of ocean freight and the use of an electric van for last-mile delivery keep this category relatively low. Further optimization could include closer sourcing or more efficient logistics networks.</w:t>
      </w:r>
    </w:p>
    <w:p>
      <w:pPr>
        <w:numPr>
          <w:ilvl w:val="0"/>
          <w:numId w:val="1015"/>
        </w:numPr>
        <w:pStyle w:val="Compact"/>
      </w:pPr>
      <w:r>
        <w:rPr>
          <w:bCs/>
          <w:b/>
        </w:rPr>
        <w:t xml:space="preserve">End-of-Life Treatment (0.15%):</w:t>
      </w:r>
      <w:r>
        <w:t xml:space="preserve"> </w:t>
      </w:r>
      <w:r>
        <w:t xml:space="preserve">Due to a high recyclability percentage (75%) and robust circular/take-back programs, the net EoL emissions are very low, demonstrating the positive impact of circular economy initiatives.</w:t>
      </w:r>
    </w:p>
    <w:p>
      <w:pPr>
        <w:pStyle w:val="FirstParagraph"/>
      </w:pPr>
      <w:r>
        <w:t xml:space="preserve">The reliability of this assessment is high for the categories where specific data (BOM, energy usage) was provided. Illustrative emission factors were used for generic transport and grid electricity based on industry averages and geographical context from reliable sources (e.g., national energy agencies, GLEC, BEIS/DEFRA). Future assessments could benefit from primary data for all transport stages and EoL processing to further enhance accuracy.</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(nughgfzdkj)</dc:title>
  <dc:creator/>
  <dc:description>High-detail Product Carbon Footprint (PCF) analysis report for nughgfzdkj (EcoGadget Pro) by Senior Sustainability Consultant luisiqyluk, adhering to GHG Protocol standards and 2026 LSR update.</dc:description>
  <dc:language>en</dc:language>
  <cp:keywords/>
  <dcterms:created xsi:type="dcterms:W3CDTF">2026-07-15T17:59:26Z</dcterms:created>
  <dcterms:modified xsi:type="dcterms:W3CDTF">2026-07-15T17:59:26Z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