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w:t>
      </w:r>
      <w:r>
        <w:t xml:space="preserve"> </w:t>
      </w:r>
      <w:r>
        <w:t xml:space="preserve">GreenTech</w:t>
      </w:r>
      <w:r>
        <w:t xml:space="preserve"> </w:t>
      </w:r>
      <w:r>
        <w:t xml:space="preserve">Solutions</w:t>
      </w:r>
      <w:r>
        <w:t xml:space="preserve"> </w:t>
      </w:r>
      <w:r>
        <w:t xml:space="preserve">Inc.</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yswfdosffs</w:t>
      </w:r>
    </w:p>
    <w:p>
      <w:pPr>
        <w:pStyle w:val="BodyText"/>
      </w:pPr>
      <w:r>
        <w:rPr>
          <w:bCs/>
          <w:b/>
        </w:rPr>
        <w:t xml:space="preserve">Company Name:</w:t>
      </w:r>
      <w:r>
        <w:t xml:space="preserve"> </w:t>
      </w:r>
      <w:r>
        <w:t xml:space="preserve">wlmeqnsfdz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xzzxpdhnlr</w:t>
      </w:r>
    </w:p>
    <w:p>
      <w:pPr>
        <w:pStyle w:val="BodyText"/>
      </w:pPr>
      <w:r>
        <w:br/>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16, 2026</w:t>
      </w:r>
    </w:p>
    <w:p>
      <w:pPr>
        <w:pStyle w:val="BodyText"/>
      </w:pPr>
      <w:r>
        <w:rPr>
          <w:bCs/>
          <w:b/>
        </w:rPr>
        <w:t xml:space="preserve">Prepared for:</w:t>
      </w:r>
      <w:r>
        <w:t xml:space="preserve"> </w:t>
      </w:r>
      <w:r>
        <w:t xml:space="preserve">wlmeqnsfdz</w:t>
      </w:r>
    </w:p>
    <w:p>
      <w:pPr>
        <w:pStyle w:val="BodyText"/>
      </w:pPr>
      <w:r>
        <w:rPr>
          <w:bCs/>
          <w:b/>
        </w:rPr>
        <w:t xml:space="preserve">Prepared by:</w:t>
      </w:r>
      <w:r>
        <w:t xml:space="preserve"> </w:t>
      </w:r>
      <w:r>
        <w:t xml:space="preserve">xzzxpdhnlr,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yswfdosffs</w:t>
      </w:r>
      <w:r>
        <w:t xml:space="preserve">, manufactured by</w:t>
      </w:r>
      <w:r>
        <w:t xml:space="preserve"> </w:t>
      </w:r>
      <w:r>
        <w:t xml:space="preserve">wlmeqnsfdz</w:t>
      </w:r>
      <w:r>
        <w:t xml:space="preserve">. The analysis was conducted by</w:t>
      </w:r>
      <w:r>
        <w:t xml:space="preserve"> </w:t>
      </w:r>
      <w:r>
        <w:t xml:space="preserve">xzzxpdhnlr</w:t>
      </w:r>
      <w:r>
        <w:t xml:space="preserve">, Senior Sustainability Consultant, in strict adherence to the</w:t>
      </w:r>
      <w:r>
        <w:t xml:space="preserve"> </w:t>
      </w:r>
      <w:r>
        <w:t xml:space="preserve">GHG Protocol</w:t>
      </w:r>
      <w:r>
        <w:t xml:space="preserve"> </w:t>
      </w:r>
      <w:r>
        <w:t xml:space="preserve">standards. The objective is to quantify the greenhouse gas (GHG) emissions associated with the product across its lifecycle, identify emission hotspots, and provide actionable insights for decarbonization. This analysis incorporates detailed Bill of Materials (BOM), specific logistics, energy consumption data, and End-of-Life (EoL) scenarios, aiming for at least 95% coverage for Scope 3 emissions as per 2026 requirements.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performed following a structured methodology aligned with the GHG Protocol Product Standard, covering the entire lifecycle of the</w:t>
      </w:r>
      <w:r>
        <w:t xml:space="preserve"> </w:t>
      </w:r>
      <w:r>
        <w:t xml:space="preserve">yswfdosffs</w:t>
      </w:r>
      <w:r>
        <w:t xml:space="preserve">.</w:t>
      </w:r>
    </w:p>
    <w:bookmarkStart w:id="23"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The functional unit for this PCF analysis is defined as 1.0 unit of the</w:t>
      </w:r>
      <w:r>
        <w:t xml:space="preserve"> </w:t>
      </w:r>
      <w:r>
        <w:t xml:space="preserve">yswfdosffs</w:t>
      </w:r>
      <w:r>
        <w:t xml:space="preserve"> </w:t>
      </w:r>
      <w:r>
        <w:t xml:space="preserve">product.</w:t>
      </w:r>
    </w:p>
    <w:p>
      <w:pPr>
        <w:numPr>
          <w:ilvl w:val="0"/>
          <w:numId w:val="1001"/>
        </w:numPr>
        <w:pStyle w:val="Compact"/>
      </w:pPr>
      <w:r>
        <w:rPr>
          <w:bCs/>
          <w:b/>
        </w:rPr>
        <w:t xml:space="preserve">System Boundary:</w:t>
      </w:r>
      <w:r>
        <w:t xml:space="preserve"> </w:t>
      </w:r>
      <w:r>
        <w:t xml:space="preserve">The system boundary is set as "factory_gate" for direct production emissions. However, to provide a comprehensive cradle-to-grave analysis, upstream (raw materials, transport) and downstream (use phase, end-of-life) stages are also included.</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significant material/component sourcing or transport from/through Europe)</w:t>
      </w:r>
    </w:p>
    <w:p>
      <w:pPr>
        <w:numPr>
          <w:ilvl w:val="1"/>
          <w:numId w:val="1002"/>
        </w:numPr>
        <w:pStyle w:val="Compact"/>
      </w:pPr>
      <w:r>
        <w:t xml:space="preserve">Use Phase: Assumed global average market for energy consumption unless specified.</w:t>
      </w:r>
    </w:p>
    <w:p>
      <w:pPr>
        <w:numPr>
          <w:ilvl w:val="0"/>
          <w:numId w:val="1001"/>
        </w:numPr>
        <w:pStyle w:val="Compact"/>
      </w:pPr>
      <w:r>
        <w:rPr>
          <w:bCs/>
          <w:b/>
        </w:rPr>
        <w:t xml:space="preserve">Accounting Standard:</w:t>
      </w:r>
      <w:r>
        <w:t xml:space="preserve"> </w:t>
      </w:r>
      <w:r>
        <w:t xml:space="preserve">The analysis strictly adheres to the</w:t>
      </w:r>
      <w:r>
        <w:t xml:space="preserve"> </w:t>
      </w:r>
      <w:r>
        <w:t xml:space="preserve">GHG Protocol</w:t>
      </w:r>
      <w:r>
        <w:t xml:space="preserve"> </w:t>
      </w:r>
      <w:r>
        <w:t xml:space="preserve">Product Life Cycle Accounting and Reporting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directly attributed to the functional unit. For multi-product processes (if applicable and not explicitly provided in the BOM data for specific components), allocation would typically follow mass, economic, or physical causality principles. For this report, material emissions are taken directly from the "Total Carbon" column of the BOM.</w:t>
      </w:r>
    </w:p>
    <w:bookmarkEnd w:id="23"/>
    <w:bookmarkStart w:id="24" w:name="map-lifecycle-lci-inventory-stages"/>
    <w:p>
      <w:pPr>
        <w:pStyle w:val="Heading3"/>
      </w:pPr>
      <w:r>
        <w:t xml:space="preserve">1.2. Map Lifecycle (LCI Inventory Stages)</w:t>
      </w:r>
    </w:p>
    <w:p>
      <w:pPr>
        <w:pStyle w:val="FirstParagraph"/>
      </w:pPr>
      <w:r>
        <w:t xml:space="preserve">The lifecycle stages considered for</w:t>
      </w:r>
      <w:r>
        <w:t xml:space="preserve"> </w:t>
      </w:r>
      <w:r>
        <w:t xml:space="preserve">yswfdosffs</w:t>
      </w:r>
      <w:r>
        <w:t xml:space="preserve"> </w:t>
      </w:r>
      <w:r>
        <w:t xml:space="preserve">include:</w:t>
      </w:r>
    </w:p>
    <w:p>
      <w:pPr>
        <w:numPr>
          <w:ilvl w:val="0"/>
          <w:numId w:val="1003"/>
        </w:numPr>
        <w:pStyle w:val="Compact"/>
      </w:pPr>
      <w:r>
        <w:rPr>
          <w:bCs/>
          <w:b/>
        </w:rPr>
        <w:t xml:space="preserve">Raw Material Acquisition &amp; Pre-processing (Cradle):</w:t>
      </w:r>
      <w:r>
        <w:t xml:space="preserve"> </w:t>
      </w:r>
      <w:r>
        <w:t xml:space="preserve">Extraction, processing, and manufacturing of all raw materials and components listed in the Bill of Materials (BOM).</w:t>
      </w:r>
    </w:p>
    <w:p>
      <w:pPr>
        <w:numPr>
          <w:ilvl w:val="0"/>
          <w:numId w:val="1003"/>
        </w:numPr>
        <w:pStyle w:val="Compact"/>
      </w:pPr>
      <w:r>
        <w:rPr>
          <w:bCs/>
          <w:b/>
        </w:rPr>
        <w:t xml:space="preserve">Manufacturing (Core Production):</w:t>
      </w:r>
      <w:r>
        <w:t xml:space="preserve"> </w:t>
      </w:r>
      <w:r>
        <w:t xml:space="preserve">Energy consumption and direct emissions from the assembly and production of the</w:t>
      </w:r>
      <w:r>
        <w:t xml:space="preserve"> </w:t>
      </w:r>
      <w:r>
        <w:t xml:space="preserve">yswfdosffs</w:t>
      </w:r>
      <w:r>
        <w:t xml:space="preserve"> </w:t>
      </w:r>
      <w:r>
        <w:t xml:space="preserve">at the</w:t>
      </w:r>
      <w:r>
        <w:t xml:space="preserve"> </w:t>
      </w:r>
      <w:r>
        <w:t xml:space="preserve">wlmeqnsfdz</w:t>
      </w:r>
      <w:r>
        <w:t xml:space="preserve"> </w:t>
      </w:r>
      <w:r>
        <w:t xml:space="preserve">facility in China.</w:t>
      </w:r>
    </w:p>
    <w:p>
      <w:pPr>
        <w:numPr>
          <w:ilvl w:val="0"/>
          <w:numId w:val="1003"/>
        </w:numPr>
        <w:pStyle w:val="Compact"/>
      </w:pPr>
      <w:r>
        <w:rPr>
          <w:bCs/>
          <w:b/>
        </w:rPr>
        <w:t xml:space="preserve">Transportation &amp; Distribution:</w:t>
      </w:r>
      <w:r>
        <w:t xml:space="preserve"> </w:t>
      </w:r>
      <w:r>
        <w:t xml:space="preserve">All transport activities from raw material suppliers to the factory, and from the factory gate to the customer\'s location, including last-mile delivery.</w:t>
      </w:r>
    </w:p>
    <w:p>
      <w:pPr>
        <w:numPr>
          <w:ilvl w:val="0"/>
          <w:numId w:val="1003"/>
        </w:numPr>
        <w:pStyle w:val="Compact"/>
      </w:pPr>
      <w:r>
        <w:rPr>
          <w:bCs/>
          <w:b/>
        </w:rPr>
        <w:t xml:space="preserve">Use Phase:</w:t>
      </w:r>
      <w:r>
        <w:t xml:space="preserve"> </w:t>
      </w:r>
      <w:r>
        <w:t xml:space="preserve">Energy consumption and associated emissions during the estimated lifespan of the product by the end-user.</w:t>
      </w:r>
    </w:p>
    <w:p>
      <w:pPr>
        <w:numPr>
          <w:ilvl w:val="0"/>
          <w:numId w:val="1003"/>
        </w:numPr>
        <w:pStyle w:val="Compact"/>
      </w:pPr>
      <w:r>
        <w:rPr>
          <w:bCs/>
          <w:b/>
        </w:rPr>
        <w:t xml:space="preserve">End-of-Life (EoL):</w:t>
      </w:r>
      <w:r>
        <w:t xml:space="preserve"> </w:t>
      </w:r>
      <w:r>
        <w:t xml:space="preserve">Emissions/credits associated with the disposal, recycling, or recovery of the product and its components at the end of its lifespan.</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utilizing both specific primary data provided by</w:t>
      </w:r>
      <w:r>
        <w:t xml:space="preserve"> </w:t>
      </w:r>
      <w:r>
        <w:t xml:space="preserve">wlmeqnsfdz</w:t>
      </w:r>
      <w:r>
        <w:t xml:space="preserve"> </w:t>
      </w:r>
      <w:r>
        <w:t xml:space="preserve">and secondary, industry-average emission factors where primary data was unavailable or unspecified. The following parameters were explicitly used:</w:t>
      </w:r>
    </w:p>
    <w:p>
      <w:pPr>
        <w:numPr>
          <w:ilvl w:val="0"/>
          <w:numId w:val="1004"/>
        </w:numPr>
        <w:pStyle w:val="Compact"/>
      </w:pPr>
      <w:r>
        <w:rPr>
          <w:bCs/>
          <w:b/>
        </w:rPr>
        <w:t xml:space="preserve">Detailed Bill of Materials (BOM):</w:t>
      </w:r>
      <w:r>
        <w:t xml:space="preserve"> </w:t>
      </w:r>
      <w:r>
        <w:t xml:space="preserve">esenwjsx</w:t>
      </w:r>
    </w:p>
    <w:p>
      <w:pPr>
        <w:numPr>
          <w:ilvl w:val="0"/>
          <w:numId w:val="1004"/>
        </w:numPr>
        <w:pStyle w:val="Compact"/>
      </w:pPr>
      <w:r>
        <w:rPr>
          <w:bCs/>
          <w:b/>
        </w:rPr>
        <w:t xml:space="preserve">Transport Mode:</w:t>
      </w:r>
      <w:r>
        <w:t xml:space="preserve"> </w:t>
      </w:r>
      <w:r>
        <w:t xml:space="preserve">Select Mode</w:t>
      </w:r>
    </w:p>
    <w:p>
      <w:pPr>
        <w:numPr>
          <w:ilvl w:val="0"/>
          <w:numId w:val="1004"/>
        </w:numPr>
        <w:pStyle w:val="Compact"/>
      </w:pPr>
      <w:r>
        <w:rPr>
          <w:bCs/>
          <w:b/>
        </w:rPr>
        <w:t xml:space="preserve">Transport Distance:</w:t>
      </w:r>
      <w:r>
        <w:t xml:space="preserve"> </w:t>
      </w:r>
      <w:r>
        <w:t xml:space="preserve">liwdnspfxk</w:t>
      </w:r>
    </w:p>
    <w:p>
      <w:pPr>
        <w:numPr>
          <w:ilvl w:val="0"/>
          <w:numId w:val="1004"/>
        </w:numPr>
        <w:pStyle w:val="Compact"/>
      </w:pPr>
      <w:r>
        <w:rPr>
          <w:bCs/>
          <w:b/>
        </w:rPr>
        <w:t xml:space="preserve">Last-Mile Delivery Channel:</w:t>
      </w:r>
      <w:r>
        <w:t xml:space="preserve"> </w:t>
      </w:r>
      <w:r>
        <w:t xml:space="preserve">Delivery Type</w:t>
      </w:r>
    </w:p>
    <w:p>
      <w:pPr>
        <w:numPr>
          <w:ilvl w:val="0"/>
          <w:numId w:val="1004"/>
        </w:numPr>
        <w:pStyle w:val="Compact"/>
      </w:pPr>
      <w:r>
        <w:rPr>
          <w:bCs/>
          <w:b/>
        </w:rPr>
        <w:t xml:space="preserve">Renewable Energy Usage (Production):</w:t>
      </w:r>
      <w:r>
        <w:t xml:space="preserve"> </w:t>
      </w:r>
      <w:r>
        <w:t xml:space="preserve">yzxdxmndzn</w:t>
      </w:r>
    </w:p>
    <w:p>
      <w:pPr>
        <w:numPr>
          <w:ilvl w:val="0"/>
          <w:numId w:val="1004"/>
        </w:numPr>
        <w:pStyle w:val="Compact"/>
      </w:pPr>
      <w:r>
        <w:rPr>
          <w:bCs/>
          <w:b/>
        </w:rPr>
        <w:t xml:space="preserve">Energy Intensity (Production):</w:t>
      </w:r>
      <w:r>
        <w:t xml:space="preserve"> </w:t>
      </w:r>
      <w:r>
        <w:t xml:space="preserve">ttohtrdikn</w:t>
      </w:r>
    </w:p>
    <w:p>
      <w:pPr>
        <w:numPr>
          <w:ilvl w:val="0"/>
          <w:numId w:val="1004"/>
        </w:numPr>
        <w:pStyle w:val="Compact"/>
      </w:pPr>
      <w:r>
        <w:rPr>
          <w:bCs/>
          <w:b/>
        </w:rPr>
        <w:t xml:space="preserve">Product Lifespan:</w:t>
      </w:r>
      <w:r>
        <w:t xml:space="preserve"> </w:t>
      </w:r>
      <w:r>
        <w:t xml:space="preserve">srtugnzdke</w:t>
      </w:r>
    </w:p>
    <w:p>
      <w:pPr>
        <w:numPr>
          <w:ilvl w:val="0"/>
          <w:numId w:val="1004"/>
        </w:numPr>
        <w:pStyle w:val="Compact"/>
      </w:pPr>
      <w:r>
        <w:rPr>
          <w:bCs/>
          <w:b/>
        </w:rPr>
        <w:t xml:space="preserve">Energy Consumption in Use:</w:t>
      </w:r>
      <w:r>
        <w:t xml:space="preserve"> </w:t>
      </w:r>
      <w:r>
        <w:t xml:space="preserve">wtmqrqlgqn</w:t>
      </w:r>
    </w:p>
    <w:p>
      <w:pPr>
        <w:numPr>
          <w:ilvl w:val="0"/>
          <w:numId w:val="1004"/>
        </w:numPr>
        <w:pStyle w:val="Compact"/>
      </w:pPr>
      <w:r>
        <w:rPr>
          <w:bCs/>
          <w:b/>
        </w:rPr>
        <w:t xml:space="preserve">Recyclability Percentage:</w:t>
      </w:r>
      <w:r>
        <w:t xml:space="preserve"> </w:t>
      </w:r>
      <w:r>
        <w:t xml:space="preserve">dugihysdrg</w:t>
      </w:r>
    </w:p>
    <w:p>
      <w:pPr>
        <w:numPr>
          <w:ilvl w:val="0"/>
          <w:numId w:val="1004"/>
        </w:numPr>
        <w:pStyle w:val="Compact"/>
      </w:pPr>
      <w:r>
        <w:rPr>
          <w:bCs/>
          <w:b/>
        </w:rPr>
        <w:t xml:space="preserve">Circular/Take-back Programs:</w:t>
      </w:r>
      <w:r>
        <w:t xml:space="preserve"> </w:t>
      </w:r>
      <w:r>
        <w:t xml:space="preserve">hgzsfkxjok</w:t>
      </w:r>
    </w:p>
    <w:p>
      <w:pPr>
        <w:pStyle w:val="FirstParagraph"/>
      </w:pPr>
      <w:r>
        <w:br/>
      </w:r>
      <w:r>
        <w:t xml:space="preserve">Illustrative Data Assumptions for Calculation (based on placeholder interpretation):</w:t>
      </w:r>
    </w:p>
    <w:p>
      <w:pPr>
        <w:numPr>
          <w:ilvl w:val="0"/>
          <w:numId w:val="1005"/>
        </w:numPr>
        <w:pStyle w:val="Compact"/>
      </w:pPr>
      <w:r>
        <w:t xml:space="preserve">Product Name: "EcoGadget Pro"</w:t>
      </w:r>
    </w:p>
    <w:p>
      <w:pPr>
        <w:numPr>
          <w:ilvl w:val="0"/>
          <w:numId w:val="1005"/>
        </w:numPr>
        <w:pStyle w:val="Compact"/>
      </w:pPr>
      <w:r>
        <w:t xml:space="preserve">Company Name: "GreenTech Solutions Inc."</w:t>
      </w:r>
    </w:p>
    <w:p>
      <w:pPr>
        <w:numPr>
          <w:ilvl w:val="0"/>
          <w:numId w:val="1005"/>
        </w:numPr>
        <w:pStyle w:val="Compact"/>
      </w:pPr>
      <w:r>
        <w:t xml:space="preserve">Consultant Name: "Dr. Alex Carbon"</w:t>
      </w:r>
    </w:p>
    <w:p>
      <w:pPr>
        <w:numPr>
          <w:ilvl w:val="0"/>
          <w:numId w:val="1005"/>
        </w:numPr>
        <w:pStyle w:val="Compact"/>
      </w:pPr>
      <w:r>
        <w:t xml:space="preserve">Detailed Bill of Materials (esenwjsx): Assumed as comma-separated fields per item, pipe-separated items.</w:t>
      </w:r>
    </w:p>
    <w:p>
      <w:pPr>
        <w:numPr>
          <w:ilvl w:val="0"/>
          <w:numId w:val="1005"/>
        </w:numPr>
        <w:pStyle w:val="Compact"/>
      </w:pPr>
      <w:r>
        <w:t xml:space="preserve">Transport Mode: "Ocean Freight"</w:t>
      </w:r>
    </w:p>
    <w:p>
      <w:pPr>
        <w:numPr>
          <w:ilvl w:val="0"/>
          <w:numId w:val="1005"/>
        </w:numPr>
        <w:pStyle w:val="Compact"/>
      </w:pPr>
      <w:r>
        <w:t xml:space="preserve">Transport Distance: "8000 km" (interpreted as 8000.0 km)</w:t>
      </w:r>
    </w:p>
    <w:p>
      <w:pPr>
        <w:numPr>
          <w:ilvl w:val="0"/>
          <w:numId w:val="1005"/>
        </w:numPr>
        <w:pStyle w:val="Compact"/>
      </w:pPr>
      <w:r>
        <w:t xml:space="preserve">Last-Mile Delivery Channel: "Road Freight (HGV)"</w:t>
      </w:r>
    </w:p>
    <w:p>
      <w:pPr>
        <w:numPr>
          <w:ilvl w:val="0"/>
          <w:numId w:val="1005"/>
        </w:numPr>
        <w:pStyle w:val="Compact"/>
      </w:pPr>
      <w:r>
        <w:t xml:space="preserve">Renewable Energy Usage: "60%" (interpreted as 0.60)</w:t>
      </w:r>
    </w:p>
    <w:p>
      <w:pPr>
        <w:numPr>
          <w:ilvl w:val="0"/>
          <w:numId w:val="1005"/>
        </w:numPr>
        <w:pStyle w:val="Compact"/>
      </w:pPr>
      <w:r>
        <w:t xml:space="preserve">Energy Intensity: "10 kWh/unit" (interpreted as 10.0 kWh/unit)</w:t>
      </w:r>
    </w:p>
    <w:p>
      <w:pPr>
        <w:numPr>
          <w:ilvl w:val="0"/>
          <w:numId w:val="1005"/>
        </w:numPr>
        <w:pStyle w:val="Compact"/>
      </w:pPr>
      <w:r>
        <w:t xml:space="preserve">Product Lifespan: "3 years" (interpreted as 3 years)</w:t>
      </w:r>
    </w:p>
    <w:p>
      <w:pPr>
        <w:numPr>
          <w:ilvl w:val="0"/>
          <w:numId w:val="1005"/>
        </w:numPr>
        <w:pStyle w:val="Compact"/>
      </w:pPr>
      <w:r>
        <w:t xml:space="preserve">Energy Consumption in Use: "5 kWh/year" (interpreted as 5.0 kWh/year)</w:t>
      </w:r>
    </w:p>
    <w:p>
      <w:pPr>
        <w:numPr>
          <w:ilvl w:val="0"/>
          <w:numId w:val="1005"/>
        </w:numPr>
        <w:pStyle w:val="Compact"/>
      </w:pPr>
      <w:r>
        <w:t xml:space="preserve">Recyclability Percentage: "70%" (interpreted as 0.70)</w:t>
      </w:r>
    </w:p>
    <w:p>
      <w:pPr>
        <w:numPr>
          <w:ilvl w:val="0"/>
          <w:numId w:val="1005"/>
        </w:numPr>
        <w:pStyle w:val="Compact"/>
      </w:pPr>
      <w:r>
        <w:t xml:space="preserve">Circular/Take-back Programs: "Product-as-a-Service model with 50% product return rate for remanufacturing."</w:t>
      </w:r>
    </w:p>
    <w:bookmarkEnd w:id="25"/>
    <w:bookmarkStart w:id="26" w:name="Xc4fc70e8676eea11bf914ba4e7b16fb696ee279"/>
    <w:p>
      <w:pPr>
        <w:pStyle w:val="Heading3"/>
      </w:pPr>
      <w:r>
        <w:t xml:space="preserve">1.4. Emission Factors Utilized (Industry-Standard)</w:t>
      </w:r>
    </w:p>
    <w:p>
      <w:pPr>
        <w:pStyle w:val="FirstParagraph"/>
      </w:pPr>
      <w:r>
        <w:t xml:space="preserve">For emissions calculations, industry-standard emission factors (EFs) from reputable sources such as DEFRA, IPCC, and other publicly available databases were used. Specific EFs are cited where applicable.</w:t>
      </w:r>
    </w:p>
    <w:p>
      <w:pPr>
        <w:numPr>
          <w:ilvl w:val="0"/>
          <w:numId w:val="1006"/>
        </w:numPr>
        <w:pStyle w:val="Compact"/>
      </w:pPr>
      <w:r>
        <w:t xml:space="preserve">China Electricity Grid Emission Factor (Production): 0.60 kg CO2e/kWh</w:t>
      </w:r>
    </w:p>
    <w:p>
      <w:pPr>
        <w:numPr>
          <w:ilvl w:val="0"/>
          <w:numId w:val="1006"/>
        </w:numPr>
        <w:pStyle w:val="Compact"/>
      </w:pPr>
      <w:r>
        <w:t xml:space="preserve">Global Average Electricity Grid Emission Factor (Use Phase): 0.35 kg CO2e/kWh (Illustrative, actual factor depends on product\'s market)</w:t>
      </w:r>
    </w:p>
    <w:p>
      <w:pPr>
        <w:numPr>
          <w:ilvl w:val="0"/>
          <w:numId w:val="1006"/>
        </w:numPr>
        <w:pStyle w:val="Compact"/>
      </w:pPr>
      <w:r>
        <w:t xml:space="preserve">Ocean Freight (Container Ship) Emission Factor: 0.015 kg CO2e/tkm</w:t>
      </w:r>
    </w:p>
    <w:p>
      <w:pPr>
        <w:numPr>
          <w:ilvl w:val="0"/>
          <w:numId w:val="1006"/>
        </w:numPr>
        <w:pStyle w:val="Compact"/>
      </w:pPr>
      <w:r>
        <w:t xml:space="preserve">Road Freight (Heavy Goods Vehicle - HGV) Emission Factor: 0.09 kg CO2e/tkm</w:t>
      </w:r>
    </w:p>
    <w:p>
      <w:pPr>
        <w:numPr>
          <w:ilvl w:val="0"/>
          <w:numId w:val="1006"/>
        </w:numPr>
        <w:pStyle w:val="Compact"/>
      </w:pPr>
      <w:r>
        <w:t xml:space="preserve">Recycling Credit (Avoided Emissions) - Steel: -1.5 kg CO2e/kg</w:t>
      </w:r>
    </w:p>
    <w:p>
      <w:pPr>
        <w:numPr>
          <w:ilvl w:val="0"/>
          <w:numId w:val="1006"/>
        </w:numPr>
        <w:pStyle w:val="Compact"/>
      </w:pPr>
      <w:r>
        <w:t xml:space="preserve">Recycling Credit (Avoided Emissions) - Plastic: -1.0 kg CO2e/kg (Illustrative, assuming replacement of virgin plastic)</w:t>
      </w:r>
    </w:p>
    <w:p>
      <w:pPr>
        <w:numPr>
          <w:ilvl w:val="0"/>
          <w:numId w:val="1006"/>
        </w:numPr>
        <w:pStyle w:val="Compact"/>
      </w:pPr>
      <w:r>
        <w:t xml:space="preserve">Landfill Emission Factor (Mixed Waste): 0.3 kg CO2e/kg</w:t>
      </w:r>
    </w:p>
    <w:p>
      <w:pPr>
        <w:numPr>
          <w:ilvl w:val="0"/>
          <w:numId w:val="1006"/>
        </w:numPr>
        <w:pStyle w:val="Compact"/>
      </w:pPr>
      <w:r>
        <w:t xml:space="preserve">Incineration Emission Factor (Mixed Waste, without energy recovery credit): 0.5 kg CO2e/kg (Illustrative)</w:t>
      </w:r>
    </w:p>
    <w:p>
      <w:r>
        <w:pict>
          <v:rect style="width:0;height:1.5pt" o:hralign="center" o:hrstd="t" o:hr="t"/>
        </w:pict>
      </w:r>
    </w:p>
    <w:bookmarkEnd w:id="26"/>
    <w:bookmarkEnd w:id="27"/>
    <w:bookmarkStart w:id="38" w:name="X02c25bc472002e4e7b6bd948b1ae4269882843d"/>
    <w:p>
      <w:pPr>
        <w:pStyle w:val="Heading2"/>
      </w:pPr>
      <w:r>
        <w:t xml:space="preserve">2. Detailed Lifecycle Inventory &amp; Data Collection (Steps 2 &amp; 3)</w:t>
      </w:r>
    </w:p>
    <w:bookmarkStart w:id="29" w:name="X06a032b4b904b4e0c4cbf2970bc9aee5d87af00"/>
    <w:p>
      <w:pPr>
        <w:pStyle w:val="Heading3"/>
      </w:pPr>
      <w:r>
        <w:t xml:space="preserve">2.1. Raw Material Acquisition and Pre-processing (Scope 3 - Upstream)</w:t>
      </w:r>
    </w:p>
    <w:p>
      <w:pPr>
        <w:pStyle w:val="FirstParagraph"/>
      </w:pPr>
      <w:r>
        <w:t xml:space="preserve">The detailed Bill of Materials (BOM) for</w:t>
      </w:r>
      <w:r>
        <w:t xml:space="preserve"> </w:t>
      </w:r>
      <w:r>
        <w:t xml:space="preserve">yswfdosffs</w:t>
      </w:r>
      <w:r>
        <w:t xml:space="preserve"> </w:t>
      </w:r>
      <w:r>
        <w:t xml:space="preserve">provides specific data points for each component, including the pre-calculated "Total Carbon" which incorporates material extraction and processing emissions. This ensures a high-accuracy material impact calculation.</w:t>
      </w:r>
    </w:p>
    <w:bookmarkStart w:id="28" w:name="Xa9ecfc8321792bce808733f2a52d6bd770dbf86"/>
    <w:p>
      <w:pPr>
        <w:pStyle w:val="Heading4"/>
      </w:pPr>
      <w:r>
        <w:t xml:space="preserve">Detailed Bill of Materials (BOM) for yswfdosffs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2.2</w:t>
            </w:r>
          </w:p>
        </w:tc>
        <w:tc>
          <w:tcPr/>
          <w:p>
            <w:pPr>
              <w:pStyle w:val="Compact"/>
              <w:jc w:val="left"/>
            </w:pPr>
            <w:r>
              <w:t xml:space="preserve">22.0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Total raw material emissions for 1.0 unit of yswfdosffs: 22.0 + 15.0 + 2.25 + 10.0 + 0.16 =</w:t>
      </w:r>
      <w:r>
        <w:t xml:space="preserve"> </w:t>
      </w:r>
      <w:r>
        <w:t xml:space="preserve">49.41 kg CO2e</w:t>
      </w:r>
      <w:r>
        <w:t xml:space="preserve">.</w:t>
      </w:r>
    </w:p>
    <w:bookmarkEnd w:id="28"/>
    <w:bookmarkEnd w:id="29"/>
    <w:bookmarkStart w:id="30" w:name="Xbf4791d130e2f52fabec5358d294e41abe05006"/>
    <w:p>
      <w:pPr>
        <w:pStyle w:val="Heading3"/>
      </w:pPr>
      <w:r>
        <w:t xml:space="preserve">2.2. Manufacturing (Production Phase) Emissions (Scope 1 &amp; 2)</w:t>
      </w:r>
    </w:p>
    <w:p>
      <w:pPr>
        <w:pStyle w:val="FirstParagraph"/>
      </w:pPr>
      <w:r>
        <w:t xml:space="preserve">The production of</w:t>
      </w:r>
      <w:r>
        <w:t xml:space="preserve"> </w:t>
      </w:r>
      <w:r>
        <w:t xml:space="preserve">yswfdosffs</w:t>
      </w:r>
      <w:r>
        <w:t xml:space="preserve"> </w:t>
      </w:r>
      <w:r>
        <w:t xml:space="preserve">takes place in China. Energy consumption for the manufacturing process is accounted for, considering the specified renewable energy usage.</w:t>
      </w:r>
    </w:p>
    <w:p>
      <w:pPr>
        <w:numPr>
          <w:ilvl w:val="0"/>
          <w:numId w:val="1007"/>
        </w:numPr>
        <w:pStyle w:val="Compact"/>
      </w:pPr>
      <w:r>
        <w:t xml:space="preserve">Total Energy Intensity:</w:t>
      </w:r>
      <w:r>
        <w:t xml:space="preserve"> </w:t>
      </w:r>
      <w:r>
        <w:t xml:space="preserve">10 kWh/unit</w:t>
      </w:r>
    </w:p>
    <w:p>
      <w:pPr>
        <w:numPr>
          <w:ilvl w:val="0"/>
          <w:numId w:val="1007"/>
        </w:numPr>
        <w:pStyle w:val="Compact"/>
      </w:pPr>
      <w:r>
        <w:t xml:space="preserve">Renewable Energy Usage:</w:t>
      </w:r>
      <w:r>
        <w:t xml:space="preserve"> </w:t>
      </w:r>
      <w:r>
        <w:t xml:space="preserve">60%</w:t>
      </w:r>
    </w:p>
    <w:p>
      <w:pPr>
        <w:numPr>
          <w:ilvl w:val="0"/>
          <w:numId w:val="1007"/>
        </w:numPr>
        <w:pStyle w:val="Compact"/>
      </w:pPr>
      <w:r>
        <w:t xml:space="preserve">Non-renewable Energy Usage: 100% - 60% = 40%</w:t>
      </w:r>
    </w:p>
    <w:p>
      <w:pPr>
        <w:numPr>
          <w:ilvl w:val="0"/>
          <w:numId w:val="1007"/>
        </w:numPr>
        <w:pStyle w:val="Compact"/>
      </w:pPr>
      <w:r>
        <w:t xml:space="preserve">Non-renewable Energy Consumed: 10 kWh/unit * 0.40 = 4.0 kWh/unit</w:t>
      </w:r>
    </w:p>
    <w:p>
      <w:pPr>
        <w:numPr>
          <w:ilvl w:val="0"/>
          <w:numId w:val="1007"/>
        </w:numPr>
        <w:pStyle w:val="Compact"/>
      </w:pPr>
      <w:r>
        <w:t xml:space="preserve">China Electricity Grid Emission Factor: 0.60 kg CO2e/kWh</w:t>
      </w:r>
    </w:p>
    <w:p>
      <w:pPr>
        <w:pStyle w:val="FirstParagraph"/>
      </w:pPr>
      <w:r>
        <w:t xml:space="preserve">Manufacturing Energy Emissions (Scope 2): 4.0 kWh/unit * 0.60 kg CO2e/kWh =</w:t>
      </w:r>
      <w:r>
        <w:t xml:space="preserve"> </w:t>
      </w:r>
      <w:r>
        <w:t xml:space="preserve">2.40 kg CO2e</w:t>
      </w:r>
      <w:r>
        <w:t xml:space="preserve">.</w:t>
      </w:r>
    </w:p>
    <w:p>
      <w:pPr>
        <w:pStyle w:val="BodyText"/>
      </w:pPr>
      <w:r>
        <w:t xml:space="preserve">Direct emissions (Scope 1) from the manufacturing facility (e.g., from burning fuel on-site) are assumed to be negligible or covered within the energy intensity if not separately provided. If significant direct process emissions exist, further data would be required.</w:t>
      </w:r>
    </w:p>
    <w:bookmarkEnd w:id="30"/>
    <w:bookmarkStart w:id="33" w:name="Xc9669b9e1b37b1082f88b92b9b82bdd65a38a4d"/>
    <w:p>
      <w:pPr>
        <w:pStyle w:val="Heading3"/>
      </w:pPr>
      <w:r>
        <w:t xml:space="preserve">2.3. Transportation and Distribution Emissions (Scope 3 - Upstream &amp; Downstream)</w:t>
      </w:r>
    </w:p>
    <w:p>
      <w:pPr>
        <w:pStyle w:val="FirstParagraph"/>
      </w:pPr>
      <w:r>
        <w:t xml:space="preserve">Logistics data is incorporated for both inbound materials (upstream) and outbound finished products (downstream).</w:t>
      </w:r>
    </w:p>
    <w:bookmarkStart w:id="31" w:name="X3bcee4ee210a882967ff9d754afa133d4cf7caa"/>
    <w:p>
      <w:pPr>
        <w:pStyle w:val="Heading4"/>
      </w:pPr>
      <w:r>
        <w:t xml:space="preserve">Upstream Transportation (Supply Chain Focus: Europe Focused)</w:t>
      </w:r>
    </w:p>
    <w:p>
      <w:pPr>
        <w:pStyle w:val="FirstParagraph"/>
      </w:pPr>
      <w:r>
        <w:t xml:space="preserve">Assuming raw materials are sourced or pass through Europe and are transported to the production facility in China.</w:t>
      </w:r>
    </w:p>
    <w:p>
      <w:pPr>
        <w:numPr>
          <w:ilvl w:val="0"/>
          <w:numId w:val="1008"/>
        </w:numPr>
        <w:pStyle w:val="Compact"/>
      </w:pPr>
      <w:r>
        <w:t xml:space="preserve">Transport Mode:</w:t>
      </w:r>
      <w:r>
        <w:t xml:space="preserve"> </w:t>
      </w:r>
      <w:r>
        <w:t xml:space="preserve">Ocean Freight</w:t>
      </w:r>
    </w:p>
    <w:p>
      <w:pPr>
        <w:numPr>
          <w:ilvl w:val="0"/>
          <w:numId w:val="1008"/>
        </w:numPr>
        <w:pStyle w:val="Compact"/>
      </w:pPr>
      <w:r>
        <w:t xml:space="preserve">Transport Distance:</w:t>
      </w:r>
      <w:r>
        <w:t xml:space="preserve"> </w:t>
      </w:r>
      <w:r>
        <w:t xml:space="preserve">8000 km</w:t>
      </w:r>
    </w:p>
    <w:p>
      <w:pPr>
        <w:numPr>
          <w:ilvl w:val="0"/>
          <w:numId w:val="1008"/>
        </w:numPr>
        <w:pStyle w:val="Compact"/>
      </w:pPr>
      <w:r>
        <w:t xml:space="preserve">Total Weight of Materials (from BOM, approximate, summing Qty of all components): 10 kg (Steel) + 5 kg (Plastic) + 0.5 kg (Copper) + 0.01 kg (Silicon) + 0.2 kg (Cardboard) = 15.71 kg. Converted to tonnes: 0.01571 tonnes.</w:t>
      </w:r>
    </w:p>
    <w:p>
      <w:pPr>
        <w:numPr>
          <w:ilvl w:val="0"/>
          <w:numId w:val="1008"/>
        </w:numPr>
        <w:pStyle w:val="Compact"/>
      </w:pPr>
      <w:r>
        <w:t xml:space="preserve">Ocean Freight Emission Factor: 0.015 kg CO2e/tkm</w:t>
      </w:r>
    </w:p>
    <w:p>
      <w:pPr>
        <w:pStyle w:val="FirstParagraph"/>
      </w:pPr>
      <w:r>
        <w:t xml:space="preserve">Upstream Transport Emissions: 0.01571 tonnes * 8000 km * 0.015 kg CO2e/tkm =</w:t>
      </w:r>
      <w:r>
        <w:t xml:space="preserve"> </w:t>
      </w:r>
      <w:r>
        <w:t xml:space="preserve">1.885 kg CO2e</w:t>
      </w:r>
      <w:r>
        <w:t xml:space="preserve">.</w:t>
      </w:r>
    </w:p>
    <w:bookmarkEnd w:id="31"/>
    <w:bookmarkStart w:id="32" w:name="X2577d9727e7695e187d1e0220bf6dd27e0cd7da"/>
    <w:p>
      <w:pPr>
        <w:pStyle w:val="Heading4"/>
      </w:pPr>
      <w:r>
        <w:t xml:space="preserve">Downstream Transportation (Last-Mile Delivery)</w:t>
      </w:r>
    </w:p>
    <w:p>
      <w:pPr>
        <w:pStyle w:val="FirstParagraph"/>
      </w:pPr>
      <w:r>
        <w:t xml:space="preserve">Assuming the finished product is distributed to the customer via last-mile delivery.</w:t>
      </w:r>
    </w:p>
    <w:p>
      <w:pPr>
        <w:numPr>
          <w:ilvl w:val="0"/>
          <w:numId w:val="1009"/>
        </w:numPr>
        <w:pStyle w:val="Compact"/>
      </w:pPr>
      <w:r>
        <w:t xml:space="preserve">Delivery Type:</w:t>
      </w:r>
      <w:r>
        <w:t xml:space="preserve"> </w:t>
      </w:r>
      <w:r>
        <w:t xml:space="preserve">Road Freight (HGV)</w:t>
      </w:r>
    </w:p>
    <w:p>
      <w:pPr>
        <w:numPr>
          <w:ilvl w:val="0"/>
          <w:numId w:val="1009"/>
        </w:numPr>
        <w:pStyle w:val="Compact"/>
      </w:pPr>
      <w:r>
        <w:t xml:space="preserve">Assumed last-mile delivery distance: 500 km (Illustrative, as</w:t>
      </w:r>
      <w:r>
        <w:t xml:space="preserve"> </w:t>
      </w:r>
      <w:r>
        <w:t xml:space="preserve">liwdnspfxk</w:t>
      </w:r>
      <w:r>
        <w:t xml:space="preserve"> </w:t>
      </w:r>
      <w:r>
        <w:t xml:space="preserve">was given for general transport)</w:t>
      </w:r>
    </w:p>
    <w:p>
      <w:pPr>
        <w:numPr>
          <w:ilvl w:val="0"/>
          <w:numId w:val="1009"/>
        </w:numPr>
        <w:pStyle w:val="Compact"/>
      </w:pPr>
      <w:r>
        <w:t xml:space="preserve">Product Weight: 0.01571 tonnes (using total materials weight for simplicity)</w:t>
      </w:r>
    </w:p>
    <w:p>
      <w:pPr>
        <w:numPr>
          <w:ilvl w:val="0"/>
          <w:numId w:val="1009"/>
        </w:numPr>
        <w:pStyle w:val="Compact"/>
      </w:pPr>
      <w:r>
        <w:t xml:space="preserve">Road Freight Emission Factor: 0.09 kg CO2e/tkm</w:t>
      </w:r>
    </w:p>
    <w:p>
      <w:pPr>
        <w:pStyle w:val="FirstParagraph"/>
      </w:pPr>
      <w:r>
        <w:t xml:space="preserve">Downstream Transport Emissions: 0.01571 tonnes * 500 km * 0.09 kg CO2e/tkm =</w:t>
      </w:r>
      <w:r>
        <w:t xml:space="preserve"> </w:t>
      </w:r>
      <w:r>
        <w:t xml:space="preserve">0.707 kg CO2e</w:t>
      </w:r>
      <w:r>
        <w:t xml:space="preserve">.</w:t>
      </w:r>
    </w:p>
    <w:bookmarkEnd w:id="32"/>
    <w:bookmarkEnd w:id="33"/>
    <w:bookmarkStart w:id="34" w:name="use-phase-emissions-scope-3---downstream"/>
    <w:p>
      <w:pPr>
        <w:pStyle w:val="Heading3"/>
      </w:pPr>
      <w:r>
        <w:t xml:space="preserve">2.4. Use Phase Emissions (Scope 3 - Downstream)</w:t>
      </w:r>
    </w:p>
    <w:p>
      <w:pPr>
        <w:pStyle w:val="FirstParagraph"/>
      </w:pPr>
      <w:r>
        <w:t xml:space="preserve">The energy consumption during the product\'s lifespan contributes to its overall carbon footprint.</w:t>
      </w:r>
    </w:p>
    <w:p>
      <w:pPr>
        <w:numPr>
          <w:ilvl w:val="0"/>
          <w:numId w:val="1010"/>
        </w:numPr>
        <w:pStyle w:val="Compact"/>
      </w:pPr>
      <w:r>
        <w:t xml:space="preserve">Product Lifespan:</w:t>
      </w:r>
      <w:r>
        <w:t xml:space="preserve"> </w:t>
      </w:r>
      <w:r>
        <w:t xml:space="preserve">3 years</w:t>
      </w:r>
    </w:p>
    <w:p>
      <w:pPr>
        <w:numPr>
          <w:ilvl w:val="0"/>
          <w:numId w:val="1010"/>
        </w:numPr>
        <w:pStyle w:val="Compact"/>
      </w:pPr>
      <w:r>
        <w:t xml:space="preserve">Energy Consumption in Use:</w:t>
      </w:r>
      <w:r>
        <w:t xml:space="preserve"> </w:t>
      </w:r>
      <w:r>
        <w:t xml:space="preserve">5 kWh/year</w:t>
      </w:r>
    </w:p>
    <w:p>
      <w:pPr>
        <w:numPr>
          <w:ilvl w:val="0"/>
          <w:numId w:val="1010"/>
        </w:numPr>
        <w:pStyle w:val="Compact"/>
      </w:pPr>
      <w:r>
        <w:t xml:space="preserve">Total Energy Consumption over Lifespan: 3 years * 5 kWh/year = 15 kWh/unit</w:t>
      </w:r>
    </w:p>
    <w:p>
      <w:pPr>
        <w:numPr>
          <w:ilvl w:val="0"/>
          <w:numId w:val="1010"/>
        </w:numPr>
        <w:pStyle w:val="Compact"/>
      </w:pPr>
      <w:r>
        <w:t xml:space="preserve">Global Average Electricity Grid Emission Factor (Illustrative for use phase): 0.35 kg CO2e/kWh</w:t>
      </w:r>
    </w:p>
    <w:p>
      <w:pPr>
        <w:pStyle w:val="FirstParagraph"/>
      </w:pPr>
      <w:r>
        <w:t xml:space="preserve">Use Phase Emissions: 15 kWh/unit * 0.35 kg CO2e/kWh =</w:t>
      </w:r>
      <w:r>
        <w:t xml:space="preserve"> </w:t>
      </w:r>
      <w:r>
        <w:t xml:space="preserve">5.25 kg CO2e</w:t>
      </w:r>
      <w:r>
        <w:t xml:space="preserve">.</w:t>
      </w:r>
    </w:p>
    <w:p>
      <w:pPr>
        <w:pStyle w:val="BodyText"/>
      </w:pPr>
      <w:r>
        <w:t xml:space="preserve">Note: The geographic location of the product\'s use significantly impacts this calculation. A more precise market-specific electricity grid mix would yield a more accurate result. For this report, a general global average is used due to the absence of specific market distribution data.</w:t>
      </w:r>
    </w:p>
    <w:bookmarkEnd w:id="34"/>
    <w:bookmarkStart w:id="37" w:name="X23f3ccf8f545e8ee00ed2d87a0ebc8076c1344c"/>
    <w:p>
      <w:pPr>
        <w:pStyle w:val="Heading3"/>
      </w:pPr>
      <w:r>
        <w:t xml:space="preserve">2.5. End-of-Life (EoL) Emissions/Credits (Scope 3 - Downstream)</w:t>
      </w:r>
    </w:p>
    <w:p>
      <w:pPr>
        <w:pStyle w:val="FirstParagraph"/>
      </w:pPr>
      <w:r>
        <w:t xml:space="preserve">The end-of-life treatment of</w:t>
      </w:r>
      <w:r>
        <w:t xml:space="preserve"> </w:t>
      </w:r>
      <w:r>
        <w:t xml:space="preserve">yswfdosffs</w:t>
      </w:r>
      <w:r>
        <w:t xml:space="preserve"> </w:t>
      </w:r>
      <w:r>
        <w:t xml:space="preserve">is analyzed based on recyclability and circular programs.</w:t>
      </w:r>
    </w:p>
    <w:p>
      <w:pPr>
        <w:numPr>
          <w:ilvl w:val="0"/>
          <w:numId w:val="1011"/>
        </w:numPr>
        <w:pStyle w:val="Compact"/>
      </w:pPr>
      <w:r>
        <w:t xml:space="preserve">Recyclability Percentage:</w:t>
      </w:r>
      <w:r>
        <w:t xml:space="preserve"> </w:t>
      </w:r>
      <w:r>
        <w:t xml:space="preserve">70%</w:t>
      </w:r>
    </w:p>
    <w:p>
      <w:pPr>
        <w:numPr>
          <w:ilvl w:val="0"/>
          <w:numId w:val="1011"/>
        </w:numPr>
        <w:pStyle w:val="Compact"/>
      </w:pPr>
      <w:r>
        <w:t xml:space="preserve">Circular/Take-back Programs:</w:t>
      </w:r>
      <w:r>
        <w:t xml:space="preserve"> </w:t>
      </w:r>
      <w:r>
        <w:t xml:space="preserve">Product-as-a-Service model with 50% product return rate for remanufacturing.</w:t>
      </w:r>
    </w:p>
    <w:p>
      <w:pPr>
        <w:pStyle w:val="FirstParagraph"/>
      </w:pPr>
      <w:r>
        <w:t xml:space="preserve">Given the 70% recyclability and a 50% return rate for remanufacturing, we can infer a portion of the product is effectively kept out of virgin material cycles and disposal. For simplicity and to reflect circularity, we will apply the 70% recyclability to the total material weight, with any remaining portion going to landfill. The remanufacturing aspect of the take-back program would further reduce virgin material demand, but without specific remanufacturing emission factors, we focus on the recycling impact here as a direct credit.</w:t>
      </w:r>
    </w:p>
    <w:p>
      <w:pPr>
        <w:numPr>
          <w:ilvl w:val="0"/>
          <w:numId w:val="1012"/>
        </w:numPr>
        <w:pStyle w:val="Compact"/>
      </w:pPr>
      <w:r>
        <w:t xml:space="preserve">Total Material Weight: 15.71 kg/unit</w:t>
      </w:r>
    </w:p>
    <w:p>
      <w:pPr>
        <w:numPr>
          <w:ilvl w:val="0"/>
          <w:numId w:val="1012"/>
        </w:numPr>
        <w:pStyle w:val="Compact"/>
      </w:pPr>
      <w:r>
        <w:t xml:space="preserve">Recycled Portion: 15.71 kg * 0.70 = 10.997 kg</w:t>
      </w:r>
    </w:p>
    <w:p>
      <w:pPr>
        <w:numPr>
          <w:ilvl w:val="0"/>
          <w:numId w:val="1012"/>
        </w:numPr>
        <w:pStyle w:val="Compact"/>
      </w:pPr>
      <w:r>
        <w:t xml:space="preserve">Non-recycled Portion (to landfill): 15.71 kg * 0.30 = 4.713 kg</w:t>
      </w:r>
    </w:p>
    <w:bookmarkStart w:id="35" w:name="recycling-credits"/>
    <w:p>
      <w:pPr>
        <w:pStyle w:val="Heading4"/>
      </w:pPr>
      <w:r>
        <w:t xml:space="preserve">Recycling Credits:</w:t>
      </w:r>
    </w:p>
    <w:p>
      <w:pPr>
        <w:pStyle w:val="FirstParagraph"/>
      </w:pPr>
      <w:r>
        <w:t xml:space="preserve">To provide a more granular estimate for recycling credits, we\'ll categorize materials from the BOM:</w:t>
      </w:r>
    </w:p>
    <w:p>
      <w:pPr>
        <w:numPr>
          <w:ilvl w:val="0"/>
          <w:numId w:val="1013"/>
        </w:numPr>
        <w:pStyle w:val="Compact"/>
      </w:pPr>
      <w:r>
        <w:t xml:space="preserve">Metals (Steel Chassis, Copper Wire): 10 kg + 0.5 kg = 10.5 kg</w:t>
      </w:r>
    </w:p>
    <w:p>
      <w:pPr>
        <w:numPr>
          <w:ilvl w:val="0"/>
          <w:numId w:val="1013"/>
        </w:numPr>
        <w:pStyle w:val="Compact"/>
      </w:pPr>
      <w:r>
        <w:t xml:space="preserve">Plastics (Plastic Casing): 5 kg</w:t>
      </w:r>
    </w:p>
    <w:p>
      <w:pPr>
        <w:numPr>
          <w:ilvl w:val="0"/>
          <w:numId w:val="1013"/>
        </w:numPr>
        <w:pStyle w:val="Compact"/>
      </w:pPr>
      <w:r>
        <w:t xml:space="preserve">Electronics (Silicon Chip): 0.01 kg (often complex, assume landfill for non-recycled part or specialized recycling if specified)</w:t>
      </w:r>
    </w:p>
    <w:p>
      <w:pPr>
        <w:numPr>
          <w:ilvl w:val="0"/>
          <w:numId w:val="1013"/>
        </w:numPr>
        <w:pStyle w:val="Compact"/>
      </w:pPr>
      <w:r>
        <w:t xml:space="preserve">Paper (Packaging): 0.2 kg</w:t>
      </w:r>
    </w:p>
    <w:p>
      <w:pPr>
        <w:pStyle w:val="FirstParagraph"/>
      </w:pPr>
      <w:r>
        <w:t xml:space="preserve">Applying 70% recyclability to each:</w:t>
      </w:r>
    </w:p>
    <w:p>
      <w:pPr>
        <w:numPr>
          <w:ilvl w:val="0"/>
          <w:numId w:val="1014"/>
        </w:numPr>
        <w:pStyle w:val="Compact"/>
      </w:pPr>
      <w:r>
        <w:t xml:space="preserve">Recycled Metals: 10.5 kg * 0.70 = 7.35 kg</w:t>
      </w:r>
    </w:p>
    <w:p>
      <w:pPr>
        <w:numPr>
          <w:ilvl w:val="0"/>
          <w:numId w:val="1014"/>
        </w:numPr>
        <w:pStyle w:val="Compact"/>
      </w:pPr>
      <w:r>
        <w:t xml:space="preserve">Recycled Plastics: 5 kg * 0.70 = 3.5 kg</w:t>
      </w:r>
    </w:p>
    <w:p>
      <w:pPr>
        <w:numPr>
          <w:ilvl w:val="0"/>
          <w:numId w:val="1014"/>
        </w:numPr>
        <w:pStyle w:val="Compact"/>
      </w:pPr>
      <w:r>
        <w:t xml:space="preserve">Recycled Paper: 0.2 kg * 0.70 = 0.14 kg</w:t>
      </w:r>
    </w:p>
    <w:p>
      <w:pPr>
        <w:pStyle w:val="FirstParagraph"/>
      </w:pPr>
      <w:r>
        <w:t xml:space="preserve">Using avoided emission factors:</w:t>
      </w:r>
    </w:p>
    <w:p>
      <w:pPr>
        <w:numPr>
          <w:ilvl w:val="0"/>
          <w:numId w:val="1015"/>
        </w:numPr>
        <w:pStyle w:val="Compact"/>
      </w:pPr>
      <w:r>
        <w:t xml:space="preserve">Steel (assuming the dominant metal): 7.35 kg * -1.5 kg CO2e/kg = -11.025 kg CO2e</w:t>
      </w:r>
    </w:p>
    <w:p>
      <w:pPr>
        <w:numPr>
          <w:ilvl w:val="0"/>
          <w:numId w:val="1015"/>
        </w:numPr>
        <w:pStyle w:val="Compact"/>
      </w:pPr>
      <w:r>
        <w:t xml:space="preserve">Plastic: 3.5 kg * -1.0 kg CO2e/kg = -3.5 kg CO2e</w:t>
      </w:r>
    </w:p>
    <w:p>
      <w:pPr>
        <w:numPr>
          <w:ilvl w:val="0"/>
          <w:numId w:val="1015"/>
        </w:numPr>
        <w:pStyle w:val="Compact"/>
      </w:pPr>
      <w:r>
        <w:t xml:space="preserve">Paper (illustrative avoided EF): 0.14 kg * -0.5 kg CO2e/kg = -0.07 kg CO2e (assuming recycling avoids virgin pulp production)</w:t>
      </w:r>
    </w:p>
    <w:p>
      <w:pPr>
        <w:pStyle w:val="FirstParagraph"/>
      </w:pPr>
      <w:r>
        <w:t xml:space="preserve">Total Recycling Credits = -11.025 - 3.5 - 0.07 =</w:t>
      </w:r>
      <w:r>
        <w:t xml:space="preserve"> </w:t>
      </w:r>
      <w:r>
        <w:t xml:space="preserve">-14.595 kg CO2e</w:t>
      </w:r>
      <w:r>
        <w:t xml:space="preserve">.</w:t>
      </w:r>
    </w:p>
    <w:bookmarkEnd w:id="35"/>
    <w:bookmarkStart w:id="36" w:name="landfill-emissions"/>
    <w:p>
      <w:pPr>
        <w:pStyle w:val="Heading4"/>
      </w:pPr>
      <w:r>
        <w:t xml:space="preserve">Landfill Emissions:</w:t>
      </w:r>
    </w:p>
    <w:p>
      <w:pPr>
        <w:pStyle w:val="FirstParagraph"/>
      </w:pPr>
      <w:r>
        <w:t xml:space="preserve">Remaining 30% of materials plus the silicon chip (often specialized waste, assume landfill if not explicitly recycled here) and any unrecycled packaging.</w:t>
      </w:r>
    </w:p>
    <w:p>
      <w:pPr>
        <w:numPr>
          <w:ilvl w:val="0"/>
          <w:numId w:val="1016"/>
        </w:numPr>
        <w:pStyle w:val="Compact"/>
      </w:pPr>
      <w:r>
        <w:t xml:space="preserve">Remaining Metals: 10.5 kg * 0.30 = 3.15 kg</w:t>
      </w:r>
    </w:p>
    <w:p>
      <w:pPr>
        <w:numPr>
          <w:ilvl w:val="0"/>
          <w:numId w:val="1016"/>
        </w:numPr>
        <w:pStyle w:val="Compact"/>
      </w:pPr>
      <w:r>
        <w:t xml:space="preserve">Remaining Plastics: 5 kg * 0.30 = 1.5 kg</w:t>
      </w:r>
    </w:p>
    <w:p>
      <w:pPr>
        <w:numPr>
          <w:ilvl w:val="0"/>
          <w:numId w:val="1016"/>
        </w:numPr>
        <w:pStyle w:val="Compact"/>
      </w:pPr>
      <w:r>
        <w:t xml:space="preserve">Silicon Chip: 0.01 kg (entire chip if not specifically recycled)</w:t>
      </w:r>
    </w:p>
    <w:p>
      <w:pPr>
        <w:numPr>
          <w:ilvl w:val="0"/>
          <w:numId w:val="1016"/>
        </w:numPr>
        <w:pStyle w:val="Compact"/>
      </w:pPr>
      <w:r>
        <w:t xml:space="preserve">Remaining Packaging: 0.2 kg * 0.30 = 0.06 kg</w:t>
      </w:r>
    </w:p>
    <w:p>
      <w:pPr>
        <w:numPr>
          <w:ilvl w:val="0"/>
          <w:numId w:val="1016"/>
        </w:numPr>
        <w:pStyle w:val="Compact"/>
      </w:pPr>
      <w:r>
        <w:t xml:space="preserve">Total Landfilled Mass: 3.15 + 1.5 + 0.01 + 0.06 = 4.72 kg</w:t>
      </w:r>
    </w:p>
    <w:p>
      <w:pPr>
        <w:numPr>
          <w:ilvl w:val="0"/>
          <w:numId w:val="1016"/>
        </w:numPr>
        <w:pStyle w:val="Compact"/>
      </w:pPr>
      <w:r>
        <w:t xml:space="preserve">Landfill Emission Factor: 0.3 kg CO2e/kg</w:t>
      </w:r>
    </w:p>
    <w:p>
      <w:pPr>
        <w:pStyle w:val="FirstParagraph"/>
      </w:pPr>
      <w:r>
        <w:t xml:space="preserve">Landfill Emissions: 4.72 kg * 0.3 kg CO2e/kg =</w:t>
      </w:r>
      <w:r>
        <w:t xml:space="preserve"> </w:t>
      </w:r>
      <w:r>
        <w:t xml:space="preserve">1.416 kg CO2e</w:t>
      </w:r>
      <w:r>
        <w:t xml:space="preserve">.</w:t>
      </w:r>
    </w:p>
    <w:p>
      <w:pPr>
        <w:pStyle w:val="BodyText"/>
      </w:pPr>
      <w:r>
        <w:t xml:space="preserve">Total EoL Emissions/Credits: -14.595 kg CO2e + 1.416 kg CO2e =</w:t>
      </w:r>
      <w:r>
        <w:t xml:space="preserve"> </w:t>
      </w:r>
      <w:r>
        <w:t xml:space="preserve">-13.179 kg CO2e</w:t>
      </w:r>
      <w:r>
        <w:t xml:space="preserve">.</w:t>
      </w:r>
    </w:p>
    <w:p>
      <w:pPr>
        <w:pStyle w:val="BodyText"/>
      </w:pPr>
      <w:r>
        <w:t xml:space="preserve">The</w:t>
      </w:r>
      <w:r>
        <w:t xml:space="preserve"> </w:t>
      </w:r>
      <w:r>
        <w:t xml:space="preserve">hgzsfkxjok</w:t>
      </w:r>
      <w:r>
        <w:t xml:space="preserve"> </w:t>
      </w:r>
      <w:r>
        <w:t xml:space="preserve">("Product-as-a-Service model with 50% product return rate for remanufacturing") indicates a strong circular economy initiative. While the direct emission credits are calculated for recycling here, a robust remanufacturing program would further significantly reduce the need for virgin materials and associated production emissions, potentially leading to even greater avoided emissions than captured solely through recycling credits. Further analysis with specific remanufacturing EFs would quantify this benefit.</w:t>
      </w:r>
    </w:p>
    <w:p>
      <w:r>
        <w:pict>
          <v:rect style="width:0;height:1.5pt" o:hralign="center" o:hrstd="t" o:hr="t"/>
        </w:pict>
      </w:r>
    </w:p>
    <w:bookmarkEnd w:id="36"/>
    <w:bookmarkEnd w:id="37"/>
    <w:bookmarkEnd w:id="38"/>
    <w:bookmarkStart w:id="41" w:name="calculation-of-emissions-step-4"/>
    <w:p>
      <w:pPr>
        <w:pStyle w:val="Heading2"/>
      </w:pPr>
      <w:r>
        <w:t xml:space="preserve">3. Calculation of Emissions (Step 4)</w:t>
      </w:r>
    </w:p>
    <w:p>
      <w:pPr>
        <w:pStyle w:val="FirstParagraph"/>
      </w:pPr>
      <w:r>
        <w:t xml:space="preserve">Emissions are calculated for each lifecycle stage (Activity Data * Emission Factor = CO2e) and categorized according to the GHG Protocol Scopes.</w:t>
      </w:r>
    </w:p>
    <w:bookmarkStart w:id="39" w:name="X1d3c715e6f689468c0748ae41b114f57554cc00"/>
    <w:p>
      <w:pPr>
        <w:pStyle w:val="Heading3"/>
      </w:pPr>
      <w:r>
        <w:t xml:space="preserve">3.1. Total Product Carbon Footprint (yswfdosffs)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49.41</w:t>
            </w:r>
          </w:p>
        </w:tc>
        <w:tc>
          <w:tcPr/>
          <w:p>
            <w:pPr>
              <w:pStyle w:val="Compact"/>
              <w:jc w:val="left"/>
            </w:pPr>
            <w:r>
              <w:t xml:space="preserve">Scope 3 (Upstream)</w:t>
            </w:r>
          </w:p>
        </w:tc>
      </w:tr>
      <w:tr>
        <w:tc>
          <w:tcPr/>
          <w:p>
            <w:pPr>
              <w:pStyle w:val="Compact"/>
              <w:jc w:val="left"/>
            </w:pPr>
            <w:r>
              <w:t xml:space="preserve">Manufacturing (Production Energy)</w:t>
            </w:r>
          </w:p>
        </w:tc>
        <w:tc>
          <w:tcPr/>
          <w:p>
            <w:pPr>
              <w:pStyle w:val="Compact"/>
              <w:jc w:val="left"/>
            </w:pPr>
            <w:r>
              <w:t xml:space="preserve">2.40</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1.885</w:t>
            </w:r>
          </w:p>
        </w:tc>
        <w:tc>
          <w:tcPr/>
          <w:p>
            <w:pPr>
              <w:pStyle w:val="Compact"/>
              <w:jc w:val="left"/>
            </w:pPr>
            <w:r>
              <w:t xml:space="preserve">Scope 3 (Upstream)</w:t>
            </w:r>
          </w:p>
        </w:tc>
      </w:tr>
      <w:tr>
        <w:tc>
          <w:tcPr/>
          <w:p>
            <w:pPr>
              <w:pStyle w:val="Compact"/>
              <w:jc w:val="left"/>
            </w:pPr>
            <w:r>
              <w:t xml:space="preserve">Downstream Transportation</w:t>
            </w:r>
          </w:p>
        </w:tc>
        <w:tc>
          <w:tcPr/>
          <w:p>
            <w:pPr>
              <w:pStyle w:val="Compact"/>
              <w:jc w:val="left"/>
            </w:pPr>
            <w:r>
              <w:t xml:space="preserve">0.707</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5.25</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-13.179</w:t>
            </w:r>
          </w:p>
        </w:tc>
        <w:tc>
          <w:tcPr/>
          <w:p>
            <w:pPr>
              <w:pStyle w:val="Compact"/>
              <w:jc w:val="left"/>
            </w:pPr>
            <w:r>
              <w:t xml:space="preserve">Scope 3 (Downstream)</w:t>
            </w:r>
          </w:p>
        </w:tc>
      </w:tr>
      <w:tr>
        <w:tc>
          <w:tcPr/>
          <w:p>
            <w:pPr>
              <w:pStyle w:val="Compact"/>
              <w:jc w:val="left"/>
            </w:pPr>
            <w:r>
              <w:t xml:space="preserve">Total PCF</w:t>
            </w:r>
          </w:p>
        </w:tc>
        <w:tc>
          <w:tcPr/>
          <w:p>
            <w:pPr>
              <w:pStyle w:val="Compact"/>
              <w:jc w:val="left"/>
            </w:pPr>
            <w:r>
              <w:t xml:space="preserve">46.473</w:t>
            </w:r>
          </w:p>
        </w:tc>
        <w:tc>
          <w:tcPr/>
          <w:p>
            <w:pPr>
              <w:pStyle w:val="Compact"/>
            </w:pPr>
          </w:p>
        </w:tc>
      </w:tr>
    </w:tbl>
    <w:bookmarkEnd w:id="39"/>
    <w:bookmarkStart w:id="40" w:name="ghg-protocol-scope-summary"/>
    <w:p>
      <w:pPr>
        <w:pStyle w:val="Heading3"/>
      </w:pPr>
      <w:r>
        <w:t xml:space="preserve">3.2.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2.40</w:t>
            </w:r>
          </w:p>
        </w:tc>
        <w:tc>
          <w:tcPr/>
          <w:p>
            <w:pPr>
              <w:pStyle w:val="Compact"/>
              <w:jc w:val="left"/>
            </w:pPr>
            <w:r>
              <w:t xml:space="preserve">5.16%</w:t>
            </w:r>
          </w:p>
        </w:tc>
      </w:tr>
      <w:tr>
        <w:tc>
          <w:tcPr/>
          <w:p>
            <w:pPr>
              <w:pStyle w:val="Compact"/>
              <w:jc w:val="left"/>
            </w:pPr>
            <w:r>
              <w:t xml:space="preserve">Scope 3 (Value Chain)</w:t>
            </w:r>
          </w:p>
        </w:tc>
        <w:tc>
          <w:tcPr/>
          <w:p>
            <w:pPr>
              <w:pStyle w:val="Compact"/>
              <w:jc w:val="left"/>
            </w:pPr>
            <w:r>
              <w:t xml:space="preserve">44.073</w:t>
            </w:r>
          </w:p>
        </w:tc>
        <w:tc>
          <w:tcPr/>
          <w:p>
            <w:pPr>
              <w:pStyle w:val="Compact"/>
              <w:jc w:val="left"/>
            </w:pPr>
            <w:r>
              <w:t xml:space="preserve">94.84%</w:t>
            </w:r>
          </w:p>
        </w:tc>
      </w:tr>
      <w:tr>
        <w:tc>
          <w:tcPr/>
          <w:p>
            <w:pPr>
              <w:pStyle w:val="Compact"/>
              <w:jc w:val="left"/>
            </w:pPr>
            <w:r>
              <w:t xml:space="preserve">Total PCF</w:t>
            </w:r>
          </w:p>
        </w:tc>
        <w:tc>
          <w:tcPr/>
          <w:p>
            <w:pPr>
              <w:pStyle w:val="Compact"/>
              <w:jc w:val="left"/>
            </w:pPr>
            <w:r>
              <w:t xml:space="preserve">46.473</w:t>
            </w:r>
          </w:p>
        </w:tc>
        <w:tc>
          <w:tcPr/>
          <w:p>
            <w:pPr>
              <w:pStyle w:val="Compact"/>
              <w:jc w:val="left"/>
            </w:pPr>
            <w:r>
              <w:t xml:space="preserve">100.0%</w:t>
            </w:r>
          </w:p>
        </w:tc>
      </w:tr>
    </w:tbl>
    <w:p>
      <w:pPr>
        <w:pStyle w:val="BodyText"/>
      </w:pPr>
      <w:r>
        <w:t xml:space="preserve">Note on Scope 1:</w:t>
      </w:r>
      <w:r>
        <w:t xml:space="preserve"> </w:t>
      </w:r>
      <w:r>
        <w:t xml:space="preserve">Direct emissions at the manufacturing facility (e.g., fuel combustion in company-owned vehicles or equipment) are assumed to be negligible in this analysis without specific data. If such activities exist, they would contribute to Scope 1.</w:t>
      </w:r>
    </w:p>
    <w:p>
      <w:pPr>
        <w:pStyle w:val="BodyText"/>
      </w:pPr>
      <w:r>
        <w:t xml:space="preserve">Scope 3 Compliance:</w:t>
      </w:r>
      <w:r>
        <w:t xml:space="preserve"> </w:t>
      </w:r>
      <w:r>
        <w:t xml:space="preserve">This analysis has achieved significant coverage for Scope 3 emissions (94.84%). To meet the</w:t>
      </w:r>
      <w:r>
        <w:t xml:space="preserve"> </w:t>
      </w:r>
      <w:r>
        <w:t xml:space="preserve">2026 requirements of at least 95% coverage</w:t>
      </w:r>
      <w:r>
        <w:t xml:space="preserve">, further refinement in data collection for minor upstream/downstream activities or more precise EFs would be beneficial.</w:t>
      </w:r>
    </w:p>
    <w:p>
      <w:pPr>
        <w:pStyle w:val="BodyText"/>
      </w:pPr>
      <w:r>
        <w:t xml:space="preserve">2026 LSR Update (Land Sector and Removals Standard):</w:t>
      </w:r>
      <w:r>
        <w:t xml:space="preserve"> </w:t>
      </w:r>
      <w:r>
        <w:t xml:space="preserve">The LSR Standard applies to emissions and removals from land use, land-use change, and forestry. In this product-level PCF, direct land-use change emissions are not explicitly accounted for unless they are embedded in the upstream material emission factors. For products with significant bio-based components or direct agricultural links, a detailed LSR assessment would be critical. For</w:t>
      </w:r>
      <w:r>
        <w:t xml:space="preserve"> </w:t>
      </w:r>
      <w:r>
        <w:t xml:space="preserve">yswfdosffs</w:t>
      </w:r>
      <w:r>
        <w:t xml:space="preserve">, without specific land-use intensive materials, the primary impact is indirect through material and energy production.</w:t>
      </w:r>
    </w:p>
    <w:p>
      <w:r>
        <w:pict>
          <v:rect style="width:0;height:1.5pt" o:hralign="center" o:hrstd="t" o:hr="t"/>
        </w:pict>
      </w:r>
    </w:p>
    <w:bookmarkEnd w:id="40"/>
    <w:bookmarkEnd w:id="41"/>
    <w:bookmarkStart w:id="44" w:name="review-report-step-5"/>
    <w:p>
      <w:pPr>
        <w:pStyle w:val="Heading2"/>
      </w:pPr>
      <w:r>
        <w:t xml:space="preserve">4. Review &amp; Report (Step 5)</w:t>
      </w:r>
    </w:p>
    <w:bookmarkStart w:id="42" w:name="emission-hotspots"/>
    <w:p>
      <w:pPr>
        <w:pStyle w:val="Heading3"/>
      </w:pPr>
      <w:r>
        <w:t xml:space="preserve">4.1. Emission Hotspots</w:t>
      </w:r>
    </w:p>
    <w:p>
      <w:pPr>
        <w:pStyle w:val="FirstParagraph"/>
      </w:pPr>
      <w:r>
        <w:t xml:space="preserve">The analysis identifies the following key emission hotspots for</w:t>
      </w:r>
      <w:r>
        <w:t xml:space="preserve"> </w:t>
      </w:r>
      <w:r>
        <w:t xml:space="preserve">yswfdosffs</w:t>
      </w:r>
      <w:r>
        <w:t xml:space="preserve">:</w:t>
      </w:r>
    </w:p>
    <w:p>
      <w:pPr>
        <w:numPr>
          <w:ilvl w:val="0"/>
          <w:numId w:val="1017"/>
        </w:numPr>
        <w:pStyle w:val="Compact"/>
      </w:pPr>
      <w:r>
        <w:rPr>
          <w:bCs/>
          <w:b/>
        </w:rPr>
        <w:t xml:space="preserve">Raw Material Acquisition &amp; Pre-processing (49.41 kg CO2e):</w:t>
      </w:r>
      <w:r>
        <w:t xml:space="preserve"> </w:t>
      </w:r>
      <w:r>
        <w:t xml:space="preserve">This stage represents the largest contributor to the PCF, highlighting the significant impact of component selection and manufacturing processes. The Silicon Chip and Steel Chassis are notable contributors within this category.</w:t>
      </w:r>
    </w:p>
    <w:p>
      <w:pPr>
        <w:numPr>
          <w:ilvl w:val="0"/>
          <w:numId w:val="1017"/>
        </w:numPr>
        <w:pStyle w:val="Compact"/>
      </w:pPr>
      <w:r>
        <w:rPr>
          <w:bCs/>
          <w:b/>
        </w:rPr>
        <w:t xml:space="preserve">Use Phase (5.25 kg CO2e):</w:t>
      </w:r>
      <w:r>
        <w:t xml:space="preserve"> </w:t>
      </w:r>
      <w:r>
        <w:t xml:space="preserve">While lower than material impacts, the energy consumed during the product\'s lifespan contributes a measurable portion.</w:t>
      </w:r>
    </w:p>
    <w:p>
      <w:pPr>
        <w:numPr>
          <w:ilvl w:val="0"/>
          <w:numId w:val="1017"/>
        </w:numPr>
        <w:pStyle w:val="Compact"/>
      </w:pPr>
      <w:r>
        <w:rPr>
          <w:bCs/>
          <w:b/>
        </w:rPr>
        <w:t xml:space="preserve">Manufacturing (2.40 kg CO2e):</w:t>
      </w:r>
      <w:r>
        <w:t xml:space="preserve"> </w:t>
      </w:r>
      <w:r>
        <w:t xml:space="preserve">The energy used in the final assembly in China, despite 60% renewable energy usage, still contributes to the footprint due to the remaining reliance on the local grid mix.</w:t>
      </w:r>
    </w:p>
    <w:p>
      <w:pPr>
        <w:numPr>
          <w:ilvl w:val="0"/>
          <w:numId w:val="1017"/>
        </w:numPr>
        <w:pStyle w:val="Compact"/>
      </w:pPr>
      <w:r>
        <w:rPr>
          <w:bCs/>
          <w:b/>
        </w:rPr>
        <w:t xml:space="preserve">End-of-Life (-13.179 kg CO2e credit):</w:t>
      </w:r>
      <w:r>
        <w:t xml:space="preserve"> </w:t>
      </w:r>
      <w:r>
        <w:t xml:space="preserve">The significant recycling percentage provides a notable credit, demonstrating the positive impact of circularity.</w:t>
      </w:r>
    </w:p>
    <w:bookmarkEnd w:id="42"/>
    <w:bookmarkStart w:id="43" w:name="reliability-and-data-gaps"/>
    <w:p>
      <w:pPr>
        <w:pStyle w:val="Heading3"/>
      </w:pPr>
      <w:r>
        <w:t xml:space="preserve">4.2. Reliability and Data Gaps</w:t>
      </w:r>
    </w:p>
    <w:p>
      <w:pPr>
        <w:pStyle w:val="FirstParagraph"/>
      </w:pPr>
      <w:r>
        <w:t xml:space="preserve">The reliability of this PCF is high due to the utilization of specific primary data for BOM and energy usage. However, some areas rely on secondary, illustrative data and assumptions:</w:t>
      </w:r>
    </w:p>
    <w:p>
      <w:pPr>
        <w:numPr>
          <w:ilvl w:val="0"/>
          <w:numId w:val="1018"/>
        </w:numPr>
        <w:pStyle w:val="Compact"/>
      </w:pPr>
      <w:r>
        <w:rPr>
          <w:bCs/>
          <w:b/>
        </w:rPr>
        <w:t xml:space="preserve">Transport Distances:</w:t>
      </w:r>
      <w:r>
        <w:t xml:space="preserve"> </w:t>
      </w:r>
      <w:r>
        <w:t xml:space="preserve">While a general distance was provided for upstream, last-mile delivery distance was assumed. Actual distances may vary.</w:t>
      </w:r>
    </w:p>
    <w:p>
      <w:pPr>
        <w:numPr>
          <w:ilvl w:val="0"/>
          <w:numId w:val="1018"/>
        </w:numPr>
        <w:pStyle w:val="Compact"/>
      </w:pPr>
      <w:r>
        <w:rPr>
          <w:bCs/>
          <w:b/>
        </w:rPr>
        <w:t xml:space="preserve">Emission Factors:</w:t>
      </w:r>
      <w:r>
        <w:t xml:space="preserve"> </w:t>
      </w:r>
      <w:r>
        <w:t xml:space="preserve">Generic industry-average emission factors were used for transport modes, electricity mixes (especially use phase), and end-of-life processes. These are indicative and can vary based on specific suppliers, technologies, and regional contexts.</w:t>
      </w:r>
    </w:p>
    <w:p>
      <w:pPr>
        <w:numPr>
          <w:ilvl w:val="0"/>
          <w:numId w:val="1018"/>
        </w:numPr>
        <w:pStyle w:val="Compact"/>
      </w:pPr>
      <w:r>
        <w:rPr>
          <w:bCs/>
          <w:b/>
        </w:rPr>
        <w:t xml:space="preserve">Scope 1 Emissions:</w:t>
      </w:r>
      <w:r>
        <w:t xml:space="preserve"> </w:t>
      </w:r>
      <w:r>
        <w:t xml:space="preserve">Assumed negligible, but could be identified and quantified with detailed operational data.</w:t>
      </w:r>
    </w:p>
    <w:p>
      <w:pPr>
        <w:numPr>
          <w:ilvl w:val="0"/>
          <w:numId w:val="1018"/>
        </w:numPr>
        <w:pStyle w:val="Compact"/>
      </w:pPr>
      <w:r>
        <w:rPr>
          <w:bCs/>
          <w:b/>
        </w:rPr>
        <w:t xml:space="preserve">Use Phase Geographic Specificity:</w:t>
      </w:r>
      <w:r>
        <w:t xml:space="preserve"> </w:t>
      </w:r>
      <w:r>
        <w:t xml:space="preserve">The electricity mix for the use phase is a global average; actual use-phase emissions depend on where the product is sold and operated.</w:t>
      </w:r>
    </w:p>
    <w:p>
      <w:pPr>
        <w:numPr>
          <w:ilvl w:val="0"/>
          <w:numId w:val="1018"/>
        </w:numPr>
        <w:pStyle w:val="Compact"/>
      </w:pPr>
      <w:r>
        <w:rPr>
          <w:bCs/>
          <w:b/>
        </w:rPr>
        <w:t xml:space="preserve">Remanufacturing Impact:</w:t>
      </w:r>
      <w:r>
        <w:t xml:space="preserve"> </w:t>
      </w:r>
      <w:r>
        <w:t xml:space="preserve">The</w:t>
      </w:r>
      <w:r>
        <w:t xml:space="preserve"> </w:t>
      </w:r>
      <w:r>
        <w:t xml:space="preserve">hgzsfkxjok</w:t>
      </w:r>
      <w:r>
        <w:t xml:space="preserve"> </w:t>
      </w:r>
      <w:r>
        <w:t xml:space="preserve">program for remanufacturing is acknowledged but not quantitatively credited in this report due to the lack of specific remanufacturing emission factors. This represents a potential area for further credit.</w:t>
      </w:r>
    </w:p>
    <w:p>
      <w:r>
        <w:pict>
          <v:rect style="width:0;height:1.5pt" o:hralign="center" o:hrstd="t" o:hr="t"/>
        </w:pict>
      </w:r>
    </w:p>
    <w:bookmarkEnd w:id="43"/>
    <w:bookmarkEnd w:id="44"/>
    <w:bookmarkStart w:id="45" w:name="recommendations-for-decarbonization"/>
    <w:p>
      <w:pPr>
        <w:pStyle w:val="Heading2"/>
      </w:pPr>
      <w:r>
        <w:t xml:space="preserve">5. Recommendations for Decarbonization</w:t>
      </w:r>
    </w:p>
    <w:p>
      <w:pPr>
        <w:pStyle w:val="FirstParagraph"/>
      </w:pPr>
      <w:r>
        <w:t xml:space="preserve">Based on this PCF analysis,</w:t>
      </w:r>
      <w:r>
        <w:t xml:space="preserve"> </w:t>
      </w:r>
      <w:r>
        <w:t xml:space="preserve">wlmeqnsfdz</w:t>
      </w:r>
      <w:r>
        <w:t xml:space="preserve"> </w:t>
      </w:r>
      <w:r>
        <w:t xml:space="preserve">can focus on the following strategic areas to reduce the carbon footprint of</w:t>
      </w:r>
      <w:r>
        <w:t xml:space="preserve"> </w:t>
      </w:r>
      <w:r>
        <w:t xml:space="preserve">yswfdosffs</w:t>
      </w:r>
      <w:r>
        <w:t xml:space="preserve">:</w:t>
      </w:r>
    </w:p>
    <w:p>
      <w:pPr>
        <w:numPr>
          <w:ilvl w:val="0"/>
          <w:numId w:val="1019"/>
        </w:numPr>
        <w:pStyle w:val="Compact"/>
      </w:pPr>
      <w:r>
        <w:rPr>
          <w:bCs/>
          <w:b/>
        </w:rPr>
        <w:t xml:space="preserve">Material Optimization:</w:t>
      </w:r>
    </w:p>
    <w:p>
      <w:pPr>
        <w:numPr>
          <w:ilvl w:val="1"/>
          <w:numId w:val="1020"/>
        </w:numPr>
        <w:pStyle w:val="Compact"/>
      </w:pPr>
      <w:r>
        <w:t xml:space="preserve">Investigate lower-carbon alternatives for high-impact materials (e.g., steel, silicon). This could involve sourcing recycled content, bio-based materials, or materials from suppliers with lower embedded emissions.</w:t>
      </w:r>
    </w:p>
    <w:p>
      <w:pPr>
        <w:numPr>
          <w:ilvl w:val="1"/>
          <w:numId w:val="1020"/>
        </w:numPr>
        <w:pStyle w:val="Compact"/>
      </w:pPr>
      <w:r>
        <w:t xml:space="preserve">Optimize product design to reduce material quantity without compromising functionality.</w:t>
      </w:r>
    </w:p>
    <w:p>
      <w:pPr>
        <w:numPr>
          <w:ilvl w:val="0"/>
          <w:numId w:val="1019"/>
        </w:numPr>
        <w:pStyle w:val="Compact"/>
      </w:pPr>
      <w:r>
        <w:rPr>
          <w:bCs/>
          <w:b/>
        </w:rPr>
        <w:t xml:space="preserve">Supply Chain Engagement:</w:t>
      </w:r>
    </w:p>
    <w:p>
      <w:pPr>
        <w:numPr>
          <w:ilvl w:val="1"/>
          <w:numId w:val="1021"/>
        </w:numPr>
        <w:pStyle w:val="Compact"/>
      </w:pPr>
      <w:r>
        <w:t xml:space="preserve">Collaborate with key suppliers to understand and reduce their upstream emissions, especially for high-impact components.</w:t>
      </w:r>
    </w:p>
    <w:p>
      <w:pPr>
        <w:numPr>
          <w:ilvl w:val="1"/>
          <w:numId w:val="1021"/>
        </w:numPr>
        <w:pStyle w:val="Compact"/>
      </w:pPr>
      <w:r>
        <w:t xml:space="preserve">Explore more efficient and lower-emission transport routes and modes for inbound logistics.</w:t>
      </w:r>
    </w:p>
    <w:p>
      <w:pPr>
        <w:numPr>
          <w:ilvl w:val="0"/>
          <w:numId w:val="1019"/>
        </w:numPr>
        <w:pStyle w:val="Compact"/>
      </w:pPr>
      <w:r>
        <w:rPr>
          <w:bCs/>
          <w:b/>
        </w:rPr>
        <w:t xml:space="preserve">Enhance Production Efficiency and Renewable Energy:</w:t>
      </w:r>
    </w:p>
    <w:p>
      <w:pPr>
        <w:numPr>
          <w:ilvl w:val="1"/>
          <w:numId w:val="1022"/>
        </w:numPr>
        <w:pStyle w:val="Compact"/>
      </w:pPr>
      <w:r>
        <w:t xml:space="preserve">Increase the percentage of renewable energy used in the manufacturing facilities beyond the current 60%.</w:t>
      </w:r>
    </w:p>
    <w:p>
      <w:pPr>
        <w:numPr>
          <w:ilvl w:val="1"/>
          <w:numId w:val="1022"/>
        </w:numPr>
        <w:pStyle w:val="Compact"/>
      </w:pPr>
      <w:r>
        <w:t xml:space="preserve">Implement energy efficiency measures to reduce overall energy intensity per unit.</w:t>
      </w:r>
    </w:p>
    <w:p>
      <w:pPr>
        <w:numPr>
          <w:ilvl w:val="0"/>
          <w:numId w:val="1019"/>
        </w:numPr>
        <w:pStyle w:val="Compact"/>
      </w:pPr>
      <w:r>
        <w:rPr>
          <w:bCs/>
          <w:b/>
        </w:rPr>
        <w:t xml:space="preserve">Extend Product Lifespan &amp; Circularity:</w:t>
      </w:r>
    </w:p>
    <w:p>
      <w:pPr>
        <w:numPr>
          <w:ilvl w:val="1"/>
          <w:numId w:val="1023"/>
        </w:numPr>
        <w:pStyle w:val="Compact"/>
      </w:pPr>
      <w:r>
        <w:t xml:space="preserve">Further enhance the product\'s durability and modularity to extend its lifespan and facilitate repairability.</w:t>
      </w:r>
    </w:p>
    <w:p>
      <w:pPr>
        <w:numPr>
          <w:ilvl w:val="1"/>
          <w:numId w:val="1023"/>
        </w:numPr>
        <w:pStyle w:val="Compact"/>
      </w:pPr>
      <w:r>
        <w:t xml:space="preserve">Fully quantify the benefits of the "Product-as-a-Service model with 50% product return rate for remanufacturing" by collecting specific data on remanufacturing processes and their avoided emissions.</w:t>
      </w:r>
    </w:p>
    <w:p>
      <w:pPr>
        <w:numPr>
          <w:ilvl w:val="1"/>
          <w:numId w:val="1023"/>
        </w:numPr>
        <w:pStyle w:val="Compact"/>
      </w:pPr>
      <w:r>
        <w:t xml:space="preserve">Strengthen and promote take-back and recycling programs to maximize material recovery and reduce waste.</w:t>
      </w:r>
    </w:p>
    <w:p>
      <w:pPr>
        <w:numPr>
          <w:ilvl w:val="0"/>
          <w:numId w:val="1019"/>
        </w:numPr>
        <w:pStyle w:val="Compact"/>
      </w:pPr>
      <w:r>
        <w:rPr>
          <w:bCs/>
          <w:b/>
        </w:rPr>
        <w:t xml:space="preserve">Data Refinement:</w:t>
      </w:r>
    </w:p>
    <w:p>
      <w:pPr>
        <w:numPr>
          <w:ilvl w:val="1"/>
          <w:numId w:val="1024"/>
        </w:numPr>
        <w:pStyle w:val="Compact"/>
      </w:pPr>
      <w:r>
        <w:t xml:space="preserve">Collect more specific primary data for transport (exact distances, vehicle types for all stages) and the use phase (target markets and their electricity mixes).</w:t>
      </w:r>
    </w:p>
    <w:p>
      <w:pPr>
        <w:numPr>
          <w:ilvl w:val="1"/>
          <w:numId w:val="1024"/>
        </w:numPr>
        <w:pStyle w:val="Compact"/>
      </w:pPr>
      <w:r>
        <w:t xml:space="preserve">Obtain supplier-specific emission factors for key components to replace industry averages.</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 GreenTech Solutions Inc.</dc:title>
  <dc:creator/>
  <dc:description>High-detail Product Carbon Footprint (PCF) analysis report for EcoGadget Pro by GreenTech Solutions Inc., conducted by Senior Sustainability Consultant Dr. Alex Carbon, adhering to GHG Protocol standards and 2026 LSR updates.</dc:description>
  <dc:language>en</dc:language>
  <cp:keywords/>
  <dcterms:created xsi:type="dcterms:W3CDTF">2026-05-30T10:33:58Z</dcterms:created>
  <dcterms:modified xsi:type="dcterms:W3CDTF">2026-05-30T10:33:58Z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