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EcoGadget</w:t>
      </w:r>
      <w:r>
        <w:t xml:space="preserve"> </w:t>
      </w:r>
      <w:r>
        <w:t xml:space="preserve">Pro</w:t>
      </w:r>
      <w:r>
        <w:t xml:space="preserve"> </w:t>
      </w:r>
      <w:r>
        <w:t xml:space="preserve">(dysqtryfzd)</w:t>
      </w:r>
    </w:p>
    <w:p>
      <w:pPr>
        <w:pStyle w:val="FirstParagraph"/>
      </w:pPr>
      <w:r>
        <w:rPr>
          <w:bCs/>
          <w:b/>
        </w:rPr>
        <w:t xml:space="preserve">carboncalcpcf.com</w:t>
      </w:r>
    </w:p>
    <w:bookmarkStart w:id="21" w:name="Xf2e6ab5be446359d80f42f50d41e46314dfe19d"/>
    <w:p>
      <w:pPr>
        <w:pStyle w:val="Heading1"/>
      </w:pPr>
      <w:r>
        <w:t xml:space="preserve">Product Carbon Footprint (PCF) Analysis Report</w:t>
      </w:r>
    </w:p>
    <w:bookmarkStart w:id="20" w:name="product-ecogadget-pro-dysqtryfzd"/>
    <w:p>
      <w:pPr>
        <w:pStyle w:val="Heading2"/>
      </w:pPr>
      <w:r>
        <w:t xml:space="preserve">Product: EcoGadget Pro (dysqtryfzd)</w:t>
      </w:r>
    </w:p>
    <w:p>
      <w:pPr>
        <w:pStyle w:val="FirstParagraph"/>
      </w:pPr>
      <w:r>
        <w:rPr>
          <w:bCs/>
          <w:b/>
        </w:rPr>
        <w:t xml:space="preserve">Company Name:</w:t>
      </w:r>
      <w:r>
        <w:t xml:space="preserve"> </w:t>
      </w:r>
      <w:r>
        <w:t xml:space="preserve">Innovate Green Corp (jzegqphfks)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Elena Sustainability (nnioitmjwo)</w:t>
      </w:r>
    </w:p>
    <w:p>
      <w:pPr>
        <w:pStyle w:val="BodyText"/>
      </w:pPr>
      <w:r>
        <w:t xml:space="preserve">Disclaimer: This report is generated based on available data, industry standards, and specified parameters. While every effort has been made to ensure accuracy, the results are indicative and subject to the quality and completeness of the input data and inherent uncertainties in life cycle assessment methodologies.</w:t>
      </w:r>
    </w:p>
    <w:bookmarkEnd w:id="20"/>
    <w:bookmarkEnd w:id="21"/>
    <w:bookmarkStart w:id="42"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"EcoGadget Pro" (dysqtryfzd), manufactured by Innovate Green Corp (jzegqphfks). The analysis was conducted by Dr. Elena Sustainability (nnioitmjwo), a Senior Sustainability Consultant, adhering strictly to the GHG Protocol accounting standard, including the 2026 Land Sector and Removals (LSR) update and ensuring at least 95% Scope 3 coverage. The primary goal is to quantify the greenhouse gas emissions associated with the product\'s entire lifecycle, from raw material extraction to end-of-life, identify emission hotspots, and provide insights for sustainability improvements. The total PCF for one functional unit of EcoGadget Pro is calculated to be</w:t>
      </w:r>
      <w:r>
        <w:t xml:space="preserve"> </w:t>
      </w:r>
      <w:r>
        <w:rPr>
          <w:bCs/>
          <w:b/>
        </w:rPr>
        <w:t xml:space="preserve">XX.XX kg CO2e</w:t>
      </w:r>
      <w:r>
        <w:t xml:space="preserv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This section outlines the foundational parameters for the Product Carbon Footprint (PCF) analysis of "EcoGadget Pro" (dysqtryfzd).</w:t>
      </w:r>
    </w:p>
    <w:p>
      <w:pPr>
        <w:numPr>
          <w:ilvl w:val="0"/>
          <w:numId w:val="1001"/>
        </w:numPr>
        <w:pStyle w:val="Compact"/>
      </w:pPr>
      <w:r>
        <w:rPr>
          <w:bCs/>
          <w:b/>
        </w:rPr>
        <w:t xml:space="preserve">Functional Unit:</w:t>
      </w:r>
      <w:r>
        <w:t xml:space="preserve"> </w:t>
      </w:r>
      <w:r>
        <w:t xml:space="preserve">The analysis is based on a functional unit of 1.0 unit of the EcoGadget Pro. This represents the basic quantifiable output of the product, serving as the reference flow for all calculations.</w:t>
      </w:r>
    </w:p>
    <w:p>
      <w:pPr>
        <w:numPr>
          <w:ilvl w:val="0"/>
          <w:numId w:val="1001"/>
        </w:numPr>
        <w:pStyle w:val="Compact"/>
      </w:pPr>
      <w:r>
        <w:rPr>
          <w:bCs/>
          <w:b/>
        </w:rPr>
        <w:t xml:space="preserve">System Boundary:</w:t>
      </w:r>
      <w:r>
        <w:t xml:space="preserve"> </w:t>
      </w:r>
      <w:r>
        <w:t xml:space="preserve">The defined system boundary for this PCF is "factory_gate". This includes all emissions from raw material acquisition, manufacturing processes, and inbound logistics up to the point the finished product leaves the factory gate. However, to provide a holistic view as per GHG Protocol requirements for comprehensive PCF, the analysis extends beyond the factory gate to include transport to customer, use phase, and end-of-life impacts for full Scope 3 coverage.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that while final assembly occurs in China, a significant portion of raw materials and components may originate from or be processed in Europe.</w:t>
      </w:r>
    </w:p>
    <w:p>
      <w:pPr>
        <w:numPr>
          <w:ilvl w:val="0"/>
          <w:numId w:val="1001"/>
        </w:numPr>
        <w:pStyle w:val="Compact"/>
      </w:pPr>
      <w:r>
        <w:rPr>
          <w:bCs/>
          <w:b/>
        </w:rPr>
        <w:t xml:space="preserve">Accounting Standard:</w:t>
      </w:r>
      <w:r>
        <w:t xml:space="preserve"> </w:t>
      </w:r>
      <w:r>
        <w:t xml:space="preserve">The analysis strictly adheres to the Greenhouse Gas (GHG) Protocol Product Standard. This standard provides a robust framework for quantifying and reporting product-level greenhouse gas emissions, categorizing them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multi-output processes or co-products within the system boundary, mass-based allocation is assumed where specific allocation rules are not provided, ensuring 100% of the emissions are allocated to the functional unit of EcoGadget Pro.</w:t>
      </w:r>
    </w:p>
    <w:p>
      <w:r>
        <w:pict>
          <v:rect style="width:0;height:1.5pt" o:hralign="center" o:hrstd="t" o:hr="t"/>
        </w:pict>
      </w:r>
    </w:p>
    <w:bookmarkEnd w:id="23"/>
    <w:bookmarkStart w:id="24" w:name="Xf6590ae06e9eff1c8ceb678e24ded0b628f7713"/>
    <w:p>
      <w:pPr>
        <w:pStyle w:val="Heading2"/>
      </w:pPr>
      <w:r>
        <w:t xml:space="preserve">2. Map Lifecycle (Life Cycle Inventory Stages)</w:t>
      </w:r>
    </w:p>
    <w:p>
      <w:pPr>
        <w:pStyle w:val="FirstParagraph"/>
      </w:pPr>
      <w:r>
        <w:t xml:space="preserve">The lifecycle of the EcoGadget Pro has been mapped across key stages, detailing the material and energy flows. This mapping is crucial for identifying all potential emission sources within the defined system boundary and across the value chain.</w:t>
      </w:r>
    </w:p>
    <w:p>
      <w:pPr>
        <w:numPr>
          <w:ilvl w:val="0"/>
          <w:numId w:val="1003"/>
        </w:numPr>
        <w:pStyle w:val="Compact"/>
      </w:pPr>
      <w:r>
        <w:rPr>
          <w:bCs/>
          <w:b/>
        </w:rPr>
        <w:t xml:space="preserve">Raw Material Acquisition &amp; Pre-processing:</w:t>
      </w:r>
      <w:r>
        <w:t xml:space="preserve"> </w:t>
      </w:r>
      <w:r>
        <w:t xml:space="preserve">This stage encompasses the extraction of virgin materials, their initial processing, and the manufacturing of components as specified in the Bill of Materials.</w:t>
      </w:r>
    </w:p>
    <w:p>
      <w:pPr>
        <w:numPr>
          <w:ilvl w:val="0"/>
          <w:numId w:val="1003"/>
        </w:numPr>
        <w:pStyle w:val="Compact"/>
      </w:pPr>
      <w:r>
        <w:rPr>
          <w:bCs/>
          <w:b/>
        </w:rPr>
        <w:t xml:space="preserve">Manufacturing &amp; Assembly (Production Phase):</w:t>
      </w:r>
      <w:r>
        <w:t xml:space="preserve"> </w:t>
      </w:r>
      <w:r>
        <w:t xml:space="preserve">This includes all processes occurring at the Innovate Green Corp (jzegqphfks) facility in China, such as component assembly, energy consumption for machinery, and direct emissions from any on-site operations.</w:t>
      </w:r>
    </w:p>
    <w:p>
      <w:pPr>
        <w:numPr>
          <w:ilvl w:val="0"/>
          <w:numId w:val="1003"/>
        </w:numPr>
        <w:pStyle w:val="Compact"/>
      </w:pPr>
      <w:r>
        <w:rPr>
          <w:bCs/>
          <w:b/>
        </w:rPr>
        <w:t xml:space="preserve">Transportation (Inbound &amp; Outbound Logistics):</w:t>
      </w:r>
      <w:r>
        <w:t xml:space="preserve"> </w:t>
      </w:r>
      <w:r>
        <w:t xml:space="preserve">This covers the transportation of raw materials and components to the manufacturing facility (inbound) and the transportation of the finished product to the customer (outbound, including last-mile delivery).</w:t>
      </w:r>
    </w:p>
    <w:p>
      <w:pPr>
        <w:numPr>
          <w:ilvl w:val="0"/>
          <w:numId w:val="1003"/>
        </w:numPr>
        <w:pStyle w:val="Compact"/>
      </w:pPr>
      <w:r>
        <w:rPr>
          <w:bCs/>
          <w:b/>
        </w:rPr>
        <w:t xml:space="preserve">Use Phase:</w:t>
      </w:r>
      <w:r>
        <w:t xml:space="preserve"> </w:t>
      </w:r>
      <w:r>
        <w:t xml:space="preserve">This stage accounts for the energy consumed by the EcoGadget Pro during its operational life, based on its expected lifespan and energy consumption intensity.</w:t>
      </w:r>
    </w:p>
    <w:p>
      <w:pPr>
        <w:numPr>
          <w:ilvl w:val="0"/>
          <w:numId w:val="1003"/>
        </w:numPr>
        <w:pStyle w:val="Compact"/>
      </w:pPr>
      <w:r>
        <w:rPr>
          <w:bCs/>
          <w:b/>
        </w:rPr>
        <w:t xml:space="preserve">End-of-Life (EoL):</w:t>
      </w:r>
      <w:r>
        <w:t xml:space="preserve"> </w:t>
      </w:r>
      <w:r>
        <w:t xml:space="preserve">This phase addresses the fate of the product at the end of its useful life, considering recycling, disposal, and the impact of circular economy initiatives.</w:t>
      </w:r>
    </w:p>
    <w:p>
      <w:r>
        <w:pict>
          <v:rect style="width:0;height:1.5pt" o:hralign="center" o:hrstd="t" o:hr="t"/>
        </w:pict>
      </w:r>
    </w:p>
    <w:bookmarkEnd w:id="24"/>
    <w:bookmarkStart w:id="30" w:name="Xb57f50a89bf1f3f1837369be949d9d60d6c1272"/>
    <w:p>
      <w:pPr>
        <w:pStyle w:val="Heading2"/>
      </w:pPr>
      <w:r>
        <w:t xml:space="preserve">3. Collect Data (Primary/Secondary Data Points)</w:t>
      </w:r>
    </w:p>
    <w:p>
      <w:pPr>
        <w:pStyle w:val="FirstParagraph"/>
      </w:pPr>
      <w:r>
        <w:t xml:space="preserve">Data collection involved gathering specific primary data for product composition, energy usage, and logistics, supplemented by secondary data from industry-standard emission factor databases for generic processes.</w:t>
      </w:r>
    </w:p>
    <w:bookmarkStart w:id="25" w:name="X8779038f85dcfb64d0fff7c1d90faea94e4133a"/>
    <w:p>
      <w:pPr>
        <w:pStyle w:val="Heading3"/>
      </w:pPr>
      <w:r>
        <w:t xml:space="preserve">Detailed Bill of Materials (BOM) for EcoGadget Pro</w:t>
      </w:r>
    </w:p>
    <w:p>
      <w:pPr>
        <w:pStyle w:val="FirstParagraph"/>
      </w:pPr>
      <w:r>
        <w:t xml:space="preserve">The following Bill of Materials (BOM) for dysqtryfzd was used for high-accuracy material impact calculation. The "Total Carbon" value for each item represents its embodied emissions based on the provided quantity and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0.36</w:t>
            </w:r>
          </w:p>
        </w:tc>
      </w:tr>
      <w:tr>
        <w:tc>
          <w:tcPr/>
          <w:p>
            <w:pPr>
              <w:pStyle w:val="Compact"/>
              <w:jc w:val="left"/>
            </w:pPr>
            <w:r>
              <w:t xml:space="preserve">103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w:t>
            </w:r>
          </w:p>
        </w:tc>
      </w:tr>
      <w:tr>
        <w:tc>
          <w:tcPr>
            <w:gridSpan w:val="7"/>
          </w:tcPr>
          <w:p>
            <w:pPr>
              <w:pStyle w:val="Compact"/>
              <w:jc w:val="right"/>
            </w:pPr>
            <w:r>
              <w:rPr>
                <w:bCs/>
                <w:b/>
              </w:rPr>
              <w:t xml:space="preserve">Total Material Embodied Emissions:</w:t>
            </w:r>
          </w:p>
        </w:tc>
        <w:tc>
          <w:tcPr/>
          <w:p>
            <w:pPr>
              <w:pStyle w:val="Compact"/>
              <w:jc w:val="left"/>
            </w:pPr>
            <w:r>
              <w:rPr>
                <w:bCs/>
                <w:b/>
              </w:rPr>
              <w:t xml:space="preserve">2.39 kg CO2e</w:t>
            </w:r>
          </w:p>
        </w:tc>
      </w:tr>
    </w:tbl>
    <w:bookmarkEnd w:id="25"/>
    <w:bookmarkStart w:id="26" w:name="production-phase-energy-data"/>
    <w:p>
      <w:pPr>
        <w:pStyle w:val="Heading3"/>
      </w:pPr>
      <w:r>
        <w:t xml:space="preserve">Production Phase Energy Data</w:t>
      </w:r>
    </w:p>
    <w:p>
      <w:pPr>
        <w:numPr>
          <w:ilvl w:val="0"/>
          <w:numId w:val="1004"/>
        </w:numPr>
        <w:pStyle w:val="Compact"/>
      </w:pPr>
      <w:r>
        <w:rPr>
          <w:bCs/>
          <w:b/>
        </w:rPr>
        <w:t xml:space="preserve">Renewable Energy Usage:</w:t>
      </w:r>
      <w:r>
        <w:t xml:space="preserve"> </w:t>
      </w:r>
      <w:r>
        <w:t xml:space="preserve">60% (hovxvxkjgx) of electricity consumed in the production facility is sourced from renewable energy.</w:t>
      </w:r>
    </w:p>
    <w:p>
      <w:pPr>
        <w:numPr>
          <w:ilvl w:val="0"/>
          <w:numId w:val="1004"/>
        </w:numPr>
        <w:pStyle w:val="Compact"/>
      </w:pPr>
      <w:r>
        <w:rPr>
          <w:bCs/>
          <w:b/>
        </w:rPr>
        <w:t xml:space="preserve">Energy Intensity (kWh/unit):</w:t>
      </w:r>
      <w:r>
        <w:t xml:space="preserve"> </w:t>
      </w:r>
      <w:r>
        <w:t xml:space="preserve">0.8 kWh/unit (qpokzjxnzs) is the electricity consumed per unit of EcoGadget Pro manufactured.</w:t>
      </w:r>
    </w:p>
    <w:bookmarkEnd w:id="26"/>
    <w:bookmarkStart w:id="27" w:name="logistics-data"/>
    <w:p>
      <w:pPr>
        <w:pStyle w:val="Heading3"/>
      </w:pPr>
      <w:r>
        <w:t xml:space="preserve">Logistics Data</w:t>
      </w:r>
    </w:p>
    <w:p>
      <w:pPr>
        <w:numPr>
          <w:ilvl w:val="0"/>
          <w:numId w:val="1005"/>
        </w:numPr>
        <w:pStyle w:val="Compact"/>
      </w:pPr>
      <w:r>
        <w:rPr>
          <w:bCs/>
          <w:b/>
        </w:rPr>
        <w:t xml:space="preserve">Primary Transport Mode (Outbound):</w:t>
      </w:r>
      <w:r>
        <w:t xml:space="preserve"> </w:t>
      </w:r>
      <w:r>
        <w:t xml:space="preserve">Ocean Freight (Container Ship) (Select Mode)</w:t>
      </w:r>
    </w:p>
    <w:p>
      <w:pPr>
        <w:numPr>
          <w:ilvl w:val="0"/>
          <w:numId w:val="1005"/>
        </w:numPr>
        <w:pStyle w:val="Compact"/>
      </w:pPr>
      <w:r>
        <w:rPr>
          <w:bCs/>
          <w:b/>
        </w:rPr>
        <w:t xml:space="preserve">Primary Transport Distance (Outbound):</w:t>
      </w:r>
      <w:r>
        <w:t xml:space="preserve"> </w:t>
      </w:r>
      <w:r>
        <w:t xml:space="preserve">8000 km (tmjqlpmspd)</w:t>
      </w:r>
    </w:p>
    <w:p>
      <w:pPr>
        <w:numPr>
          <w:ilvl w:val="0"/>
          <w:numId w:val="1005"/>
        </w:numPr>
        <w:pStyle w:val="Compact"/>
      </w:pPr>
      <w:r>
        <w:rPr>
          <w:bCs/>
          <w:b/>
        </w:rPr>
        <w:t xml:space="preserve">Last-Mile Delivery Channel:</w:t>
      </w:r>
      <w:r>
        <w:t xml:space="preserve"> </w:t>
      </w:r>
      <w:r>
        <w:t xml:space="preserve">Electric Van (Delivery Type)</w:t>
      </w:r>
    </w:p>
    <w:bookmarkEnd w:id="27"/>
    <w:bookmarkStart w:id="28"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5 years (xxjxpktkux)</w:t>
      </w:r>
    </w:p>
    <w:p>
      <w:pPr>
        <w:numPr>
          <w:ilvl w:val="0"/>
          <w:numId w:val="1006"/>
        </w:numPr>
        <w:pStyle w:val="Compact"/>
      </w:pPr>
      <w:r>
        <w:rPr>
          <w:bCs/>
          <w:b/>
        </w:rPr>
        <w:t xml:space="preserve">Energy Consumption in Use:</w:t>
      </w:r>
      <w:r>
        <w:t xml:space="preserve"> </w:t>
      </w:r>
      <w:r>
        <w:t xml:space="preserve">10 kWh/year (pxmzjtqvmt)</w:t>
      </w:r>
    </w:p>
    <w:bookmarkEnd w:id="28"/>
    <w:bookmarkStart w:id="29" w:name="end-of-life-eol-data"/>
    <w:p>
      <w:pPr>
        <w:pStyle w:val="Heading3"/>
      </w:pPr>
      <w:r>
        <w:t xml:space="preserve">End-of-Life (EoL) Data</w:t>
      </w:r>
    </w:p>
    <w:p>
      <w:pPr>
        <w:numPr>
          <w:ilvl w:val="0"/>
          <w:numId w:val="1007"/>
        </w:numPr>
        <w:pStyle w:val="Compact"/>
      </w:pPr>
      <w:r>
        <w:rPr>
          <w:bCs/>
          <w:b/>
        </w:rPr>
        <w:t xml:space="preserve">Recyclability Percentage:</w:t>
      </w:r>
      <w:r>
        <w:t xml:space="preserve"> </w:t>
      </w:r>
      <w:r>
        <w:t xml:space="preserve">85% (qgqlrknojx) of the product\'s material by weight is theoretically recyclable.</w:t>
      </w:r>
    </w:p>
    <w:p>
      <w:pPr>
        <w:numPr>
          <w:ilvl w:val="0"/>
          <w:numId w:val="1007"/>
        </w:numPr>
        <w:pStyle w:val="Compact"/>
      </w:pPr>
      <w:r>
        <w:rPr>
          <w:bCs/>
          <w:b/>
        </w:rPr>
        <w:t xml:space="preserve">Circular/Take-back Programs:</w:t>
      </w:r>
      <w:r>
        <w:t xml:space="preserve"> </w:t>
      </w:r>
      <w:r>
        <w:t xml:space="preserve">Active product take-back and refurbishment program (sjrdmgyqnu) is in place, enhancing actual recycling and reuse rates.</w:t>
      </w:r>
    </w:p>
    <w:p>
      <w:r>
        <w:pict>
          <v:rect style="width:0;height:1.5pt" o:hralign="center" o:hrstd="t" o:hr="t"/>
        </w:pict>
      </w:r>
    </w:p>
    <w:bookmarkEnd w:id="29"/>
    <w:bookmarkEnd w:id="30"/>
    <w:bookmarkStart w:id="37" w:name="Xb404f6bea4a0013006ec7a9103609d9ea6643c1"/>
    <w:p>
      <w:pPr>
        <w:pStyle w:val="Heading2"/>
      </w:pPr>
      <w:r>
        <w:t xml:space="preserve">4. Calculate Emissions (Activity * Emission Factor = CO2e)</w:t>
      </w:r>
    </w:p>
    <w:p>
      <w:pPr>
        <w:pStyle w:val="FirstParagraph"/>
      </w:pPr>
      <w:r>
        <w:t xml:space="preserve">Emissions are calculated for each lifecycle stage by multiplying activity data by relevant emission factors. Industry-standard emission factors, such as those from Ecoinvent and DEFRA databases (or their equivalents for regional grids/fuels), have been utilized for processes where specific factors were not provided, and for general grid electricity. All emissions are categorized according to the GHG Protocol (Scope 1, 2, and 3) and adjusted for the 2026 LSR update. We ensure at least 95% coverage for Scope 3 reporting.</w:t>
      </w:r>
    </w:p>
    <w:bookmarkStart w:id="31" w:name="assumed-emission-factors-parameters"/>
    <w:p>
      <w:pPr>
        <w:pStyle w:val="Heading3"/>
      </w:pPr>
      <w:r>
        <w:t xml:space="preserve">Assumed Emission Factors &amp; Parameters:</w:t>
      </w:r>
    </w:p>
    <w:p>
      <w:pPr>
        <w:numPr>
          <w:ilvl w:val="0"/>
          <w:numId w:val="1008"/>
        </w:numPr>
        <w:pStyle w:val="Compact"/>
      </w:pPr>
      <w:r>
        <w:rPr>
          <w:bCs/>
          <w:b/>
        </w:rPr>
        <w:t xml:space="preserve">China Grid Electricity Emission Factor:</w:t>
      </w:r>
      <w:r>
        <w:t xml:space="preserve"> </w:t>
      </w:r>
      <w:r>
        <w:t xml:space="preserve">0.55 kg CO2e/kWh (average for non-renewable portion)</w:t>
      </w:r>
    </w:p>
    <w:p>
      <w:pPr>
        <w:numPr>
          <w:ilvl w:val="0"/>
          <w:numId w:val="1008"/>
        </w:numPr>
        <w:pStyle w:val="Compact"/>
      </w:pPr>
      <w:r>
        <w:rPr>
          <w:bCs/>
          <w:b/>
        </w:rPr>
        <w:t xml:space="preserve">Ocean Freight (Container Ship) Emission Factor:</w:t>
      </w:r>
      <w:r>
        <w:t xml:space="preserve"> </w:t>
      </w:r>
      <w:r>
        <w:t xml:space="preserve">0.01 kg CO2e/tonne-km</w:t>
      </w:r>
    </w:p>
    <w:p>
      <w:pPr>
        <w:numPr>
          <w:ilvl w:val="0"/>
          <w:numId w:val="1008"/>
        </w:numPr>
        <w:pStyle w:val="Compact"/>
      </w:pPr>
      <w:r>
        <w:rPr>
          <w:bCs/>
          <w:b/>
        </w:rPr>
        <w:t xml:space="preserve">Electric Van (Last Mile) Emission Factor:</w:t>
      </w:r>
      <w:r>
        <w:t xml:space="preserve"> </w:t>
      </w:r>
      <w:r>
        <w:t xml:space="preserve">0.05 kg CO2e/vehicle-km (assuming average load and electricity mix)</w:t>
      </w:r>
    </w:p>
    <w:p>
      <w:pPr>
        <w:numPr>
          <w:ilvl w:val="0"/>
          <w:numId w:val="1008"/>
        </w:numPr>
        <w:pStyle w:val="Compact"/>
      </w:pPr>
      <w:r>
        <w:rPr>
          <w:bCs/>
          <w:b/>
        </w:rPr>
        <w:t xml:space="preserve">Average Product Weight:</w:t>
      </w:r>
      <w:r>
        <w:t xml:space="preserve"> </w:t>
      </w:r>
      <w:r>
        <w:t xml:space="preserve">0.5 kg (based on BOM total for calculation purposes for transport)</w:t>
      </w:r>
    </w:p>
    <w:p>
      <w:pPr>
        <w:numPr>
          <w:ilvl w:val="0"/>
          <w:numId w:val="1008"/>
        </w:numPr>
        <w:pStyle w:val="Compact"/>
      </w:pPr>
      <w:r>
        <w:rPr>
          <w:bCs/>
          <w:b/>
        </w:rPr>
        <w:t xml:space="preserve">Last-Mile Delivery Distance:</w:t>
      </w:r>
      <w:r>
        <w:t xml:space="preserve"> </w:t>
      </w:r>
      <w:r>
        <w:t xml:space="preserve">50 km (assumed)</w:t>
      </w:r>
    </w:p>
    <w:p>
      <w:pPr>
        <w:numPr>
          <w:ilvl w:val="0"/>
          <w:numId w:val="1008"/>
        </w:numPr>
        <w:pStyle w:val="Compact"/>
      </w:pPr>
      <w:r>
        <w:rPr>
          <w:bCs/>
          <w:b/>
        </w:rPr>
        <w:t xml:space="preserve">End-of-Life (Landfill/Incineration) Emission Factor:</w:t>
      </w:r>
      <w:r>
        <w:t xml:space="preserve"> </w:t>
      </w:r>
      <w:r>
        <w:t xml:space="preserve">1.0 kg CO2e/kg (for non-recycled waste)</w:t>
      </w:r>
    </w:p>
    <w:p>
      <w:pPr>
        <w:numPr>
          <w:ilvl w:val="0"/>
          <w:numId w:val="1008"/>
        </w:numPr>
        <w:pStyle w:val="Compact"/>
      </w:pPr>
      <w:r>
        <w:rPr>
          <w:bCs/>
          <w:b/>
        </w:rPr>
        <w:t xml:space="preserve">Recycling Benefit:</w:t>
      </w:r>
      <w:r>
        <w:t xml:space="preserve"> </w:t>
      </w:r>
      <w:r>
        <w:t xml:space="preserve">Avoided emissions from virgin material production, assumed to be 70% of virgin material impact for the recycled portion.</w:t>
      </w:r>
    </w:p>
    <w:bookmarkEnd w:id="31"/>
    <w:bookmarkStart w:id="35" w:name="emission-calculation-breakdown"/>
    <w:p>
      <w:pPr>
        <w:pStyle w:val="Heading3"/>
      </w:pPr>
      <w:r>
        <w:t xml:space="preserve">Emission Calculation Breakdown:</w:t>
      </w:r>
    </w:p>
    <w:bookmarkStart w:id="32" w:name="X5724c3d864b20572ce25b9687065276983e7446"/>
    <w:p>
      <w:pPr>
        <w:pStyle w:val="Heading4"/>
      </w:pPr>
      <w:r>
        <w:t xml:space="preserve">Scope 3: Upstream Emissions (Cradle-to-Gate excluding manufacturing energy)</w:t>
      </w:r>
    </w:p>
    <w:p>
      <w:pPr>
        <w:pStyle w:val="FirstParagraph"/>
      </w:pPr>
      <w:r>
        <w:rPr>
          <w:bCs/>
          <w:b/>
        </w:rPr>
        <w:t xml:space="preserve">1. Raw Materials &amp; Components (Material Acquisition &amp; Pre-processing):</w:t>
      </w:r>
    </w:p>
    <w:p>
      <w:pPr>
        <w:numPr>
          <w:ilvl w:val="0"/>
          <w:numId w:val="1009"/>
        </w:numPr>
        <w:pStyle w:val="Compact"/>
      </w:pPr>
      <w:r>
        <w:t xml:space="preserve">Total Material Embodied Emissions (from BOM): 2.39 kg CO2e</w:t>
      </w:r>
    </w:p>
    <w:p>
      <w:pPr>
        <w:numPr>
          <w:ilvl w:val="0"/>
          <w:numId w:val="1009"/>
        </w:numPr>
        <w:pStyle w:val="Compact"/>
      </w:pPr>
      <w:r>
        <w:t xml:space="preserve">This includes emissions from extraction, processing, and manufacturing of raw materials and components, which falls under Scope 3, Category 1 (Purchased goods and services).</w:t>
      </w:r>
    </w:p>
    <w:p>
      <w:pPr>
        <w:pStyle w:val="FirstParagraph"/>
      </w:pPr>
      <w:r>
        <w:rPr>
          <w:bCs/>
          <w:b/>
        </w:rPr>
        <w:t xml:space="preserve">Subtotal Scope 3 (Materials): 2.39 kg CO2e</w:t>
      </w:r>
    </w:p>
    <w:bookmarkEnd w:id="32"/>
    <w:bookmarkStart w:id="33" w:name="scope-1-2-production-phase-factory-gate"/>
    <w:p>
      <w:pPr>
        <w:pStyle w:val="Heading4"/>
      </w:pPr>
      <w:r>
        <w:t xml:space="preserve">Scope 1 &amp; 2: Production Phase (Factory Gate)</w:t>
      </w:r>
    </w:p>
    <w:p>
      <w:pPr>
        <w:pStyle w:val="FirstParagraph"/>
      </w:pPr>
      <w:r>
        <w:rPr>
          <w:bCs/>
          <w:b/>
        </w:rPr>
        <w:t xml:space="preserve">2. Manufacturing &amp; Assembly (Production Energy):</w:t>
      </w:r>
    </w:p>
    <w:p>
      <w:pPr>
        <w:numPr>
          <w:ilvl w:val="0"/>
          <w:numId w:val="1010"/>
        </w:numPr>
        <w:pStyle w:val="Compact"/>
      </w:pPr>
      <w:r>
        <w:t xml:space="preserve">Energy Intensity: 0.8 kWh/unit</w:t>
      </w:r>
    </w:p>
    <w:p>
      <w:pPr>
        <w:numPr>
          <w:ilvl w:val="0"/>
          <w:numId w:val="1010"/>
        </w:numPr>
        <w:pStyle w:val="Compact"/>
      </w:pPr>
      <w:r>
        <w:t xml:space="preserve">Renewable Energy Usage: 60%</w:t>
      </w:r>
    </w:p>
    <w:p>
      <w:pPr>
        <w:numPr>
          <w:ilvl w:val="0"/>
          <w:numId w:val="1010"/>
        </w:numPr>
        <w:pStyle w:val="Compact"/>
      </w:pPr>
      <w:r>
        <w:t xml:space="preserve">Non-renewable energy: 0.8 kWh/unit * (1 - 0.60) = 0.32 kWh/unit</w:t>
      </w:r>
    </w:p>
    <w:p>
      <w:pPr>
        <w:numPr>
          <w:ilvl w:val="0"/>
          <w:numId w:val="1010"/>
        </w:numPr>
        <w:pStyle w:val="Compact"/>
      </w:pPr>
      <w:r>
        <w:t xml:space="preserve">Emissions from non-renewable electricity: 0.32 kWh/unit * 0.55 kg CO2e/kWh = 0.176 kg CO2e</w:t>
      </w:r>
    </w:p>
    <w:p>
      <w:pPr>
        <w:numPr>
          <w:ilvl w:val="0"/>
          <w:numId w:val="1010"/>
        </w:numPr>
        <w:pStyle w:val="Compact"/>
      </w:pPr>
      <w:r>
        <w:t xml:space="preserve">Any direct emissions from on-site fuel combustion or processes (Scope 1) are assumed negligible or included in provided energy intensity data for simplicity, given lack of specific data. If present, they would be calculated directly.</w:t>
      </w:r>
    </w:p>
    <w:p>
      <w:pPr>
        <w:pStyle w:val="FirstParagraph"/>
      </w:pPr>
      <w:r>
        <w:rPr>
          <w:bCs/>
          <w:b/>
        </w:rPr>
        <w:t xml:space="preserve">Subtotal Scope 2 (Production Energy): 0.176 kg CO2e</w:t>
      </w:r>
    </w:p>
    <w:bookmarkEnd w:id="33"/>
    <w:bookmarkStart w:id="34" w:name="X093cb651af747bfb5afbb3c51969bcc71ed79bd"/>
    <w:p>
      <w:pPr>
        <w:pStyle w:val="Heading4"/>
      </w:pPr>
      <w:r>
        <w:t xml:space="preserve">Scope 3: Downstream &amp; Other Upstream Emissions</w:t>
      </w:r>
    </w:p>
    <w:p>
      <w:pPr>
        <w:pStyle w:val="FirstParagraph"/>
      </w:pPr>
      <w:r>
        <w:rPr>
          <w:bCs/>
          <w:b/>
        </w:rPr>
        <w:t xml:space="preserve">3. Transportation:</w:t>
      </w:r>
    </w:p>
    <w:p>
      <w:pPr>
        <w:numPr>
          <w:ilvl w:val="0"/>
          <w:numId w:val="1011"/>
        </w:numPr>
        <w:pStyle w:val="Compact"/>
      </w:pPr>
      <w:r>
        <w:rPr>
          <w:bCs/>
          <w:b/>
        </w:rPr>
        <w:t xml:space="preserve">Outbound Primary Transport (Ocean Freight):</w:t>
      </w:r>
    </w:p>
    <w:p>
      <w:pPr>
        <w:numPr>
          <w:ilvl w:val="1"/>
          <w:numId w:val="1012"/>
        </w:numPr>
        <w:pStyle w:val="Compact"/>
      </w:pPr>
      <w:r>
        <w:t xml:space="preserve">Product Weight: 0.5 kg = 0.0005 tonnes</w:t>
      </w:r>
    </w:p>
    <w:p>
      <w:pPr>
        <w:numPr>
          <w:ilvl w:val="1"/>
          <w:numId w:val="1012"/>
        </w:numPr>
        <w:pStyle w:val="Compact"/>
      </w:pPr>
      <w:r>
        <w:t xml:space="preserve">Distance: 8000 km</w:t>
      </w:r>
    </w:p>
    <w:p>
      <w:pPr>
        <w:numPr>
          <w:ilvl w:val="1"/>
          <w:numId w:val="1012"/>
        </w:numPr>
        <w:pStyle w:val="Compact"/>
      </w:pPr>
      <w:r>
        <w:t xml:space="preserve">Emissions: 0.0005 tonnes * 8000 km * 0.01 kg CO2e/tonne-km = 0.04 kg CO2e</w:t>
      </w:r>
    </w:p>
    <w:p>
      <w:pPr>
        <w:numPr>
          <w:ilvl w:val="0"/>
          <w:numId w:val="1011"/>
        </w:numPr>
        <w:pStyle w:val="Compact"/>
      </w:pPr>
      <w:r>
        <w:rPr>
          <w:bCs/>
          <w:b/>
        </w:rPr>
        <w:t xml:space="preserve">Last-Mile Delivery (Electric Van):</w:t>
      </w:r>
    </w:p>
    <w:p>
      <w:pPr>
        <w:numPr>
          <w:ilvl w:val="1"/>
          <w:numId w:val="1013"/>
        </w:numPr>
        <w:pStyle w:val="Compact"/>
      </w:pPr>
      <w:r>
        <w:t xml:space="preserve">Distance: 50 km (assumed average)</w:t>
      </w:r>
    </w:p>
    <w:p>
      <w:pPr>
        <w:numPr>
          <w:ilvl w:val="1"/>
          <w:numId w:val="1013"/>
        </w:numPr>
        <w:pStyle w:val="Compact"/>
      </w:pPr>
      <w:r>
        <w:t xml:space="preserve">Emissions: 50 km * 0.05 kg CO2e/vehicle-km = 2.50 kg CO2e</w:t>
      </w:r>
    </w:p>
    <w:p>
      <w:pPr>
        <w:numPr>
          <w:ilvl w:val="0"/>
          <w:numId w:val="1011"/>
        </w:numPr>
        <w:pStyle w:val="Compact"/>
      </w:pPr>
      <w:r>
        <w:t xml:space="preserve">This falls under Scope 3, Category 4 (Transportation and distribution).</w:t>
      </w:r>
    </w:p>
    <w:p>
      <w:pPr>
        <w:pStyle w:val="FirstParagraph"/>
      </w:pPr>
      <w:r>
        <w:rPr>
          <w:bCs/>
          <w:b/>
        </w:rPr>
        <w:t xml:space="preserve">Subtotal Scope 3 (Transport): 2.54 kg CO2e</w:t>
      </w:r>
    </w:p>
    <w:p>
      <w:pPr>
        <w:pStyle w:val="BodyText"/>
      </w:pPr>
      <w:r>
        <w:rPr>
          <w:bCs/>
          <w:b/>
        </w:rPr>
        <w:t xml:space="preserve">4. Use Phase:</w:t>
      </w:r>
    </w:p>
    <w:p>
      <w:pPr>
        <w:numPr>
          <w:ilvl w:val="0"/>
          <w:numId w:val="1014"/>
        </w:numPr>
        <w:pStyle w:val="Compact"/>
      </w:pPr>
      <w:r>
        <w:t xml:space="preserve">Energy Consumption: 10 kWh/year</w:t>
      </w:r>
    </w:p>
    <w:p>
      <w:pPr>
        <w:numPr>
          <w:ilvl w:val="0"/>
          <w:numId w:val="1014"/>
        </w:numPr>
        <w:pStyle w:val="Compact"/>
      </w:pPr>
      <w:r>
        <w:t xml:space="preserve">Product Lifespan: 5 years</w:t>
      </w:r>
    </w:p>
    <w:p>
      <w:pPr>
        <w:numPr>
          <w:ilvl w:val="0"/>
          <w:numId w:val="1014"/>
        </w:numPr>
        <w:pStyle w:val="Compact"/>
      </w:pPr>
      <w:r>
        <w:t xml:space="preserve">Total energy consumption over lifespan: 10 kWh/year * 5 years = 50 kWh</w:t>
      </w:r>
    </w:p>
    <w:p>
      <w:pPr>
        <w:numPr>
          <w:ilvl w:val="0"/>
          <w:numId w:val="1014"/>
        </w:numPr>
        <w:pStyle w:val="Compact"/>
      </w:pPr>
      <w:r>
        <w:t xml:space="preserve">Assuming average global grid mix for consumer usage (e.g., 0.4 kg CO2e/kWh for simplicity, adjust for renewables if user specifies, else assume consumer is on typical grid).</w:t>
      </w:r>
    </w:p>
    <w:p>
      <w:pPr>
        <w:numPr>
          <w:ilvl w:val="0"/>
          <w:numId w:val="1014"/>
        </w:numPr>
        <w:pStyle w:val="Compact"/>
      </w:pPr>
      <w:r>
        <w:t xml:space="preserve">Emissions: 50 kWh * 0.4 kg CO2e/kWh = 20.0 kg CO2e</w:t>
      </w:r>
    </w:p>
    <w:p>
      <w:pPr>
        <w:numPr>
          <w:ilvl w:val="0"/>
          <w:numId w:val="1014"/>
        </w:numPr>
        <w:pStyle w:val="Compact"/>
      </w:pPr>
      <w:r>
        <w:t xml:space="preserve">This falls under Scope 3, Category 11 (Use of sold products).</w:t>
      </w:r>
    </w:p>
    <w:p>
      <w:pPr>
        <w:pStyle w:val="FirstParagraph"/>
      </w:pPr>
      <w:r>
        <w:rPr>
          <w:bCs/>
          <w:b/>
        </w:rPr>
        <w:t xml:space="preserve">Subtotal Scope 3 (Use Phase): 20.0 kg CO2e</w:t>
      </w:r>
    </w:p>
    <w:p>
      <w:pPr>
        <w:pStyle w:val="BodyText"/>
      </w:pPr>
      <w:r>
        <w:rPr>
          <w:bCs/>
          <w:b/>
        </w:rPr>
        <w:t xml:space="preserve">5. End-of-Life (EoL):</w:t>
      </w:r>
    </w:p>
    <w:p>
      <w:pPr>
        <w:numPr>
          <w:ilvl w:val="0"/>
          <w:numId w:val="1015"/>
        </w:numPr>
        <w:pStyle w:val="Compact"/>
      </w:pPr>
      <w:r>
        <w:t xml:space="preserve">Total product weight: Approx. 0.5 kg (from BOM components)</w:t>
      </w:r>
    </w:p>
    <w:p>
      <w:pPr>
        <w:numPr>
          <w:ilvl w:val="0"/>
          <w:numId w:val="1015"/>
        </w:numPr>
        <w:pStyle w:val="Compact"/>
      </w:pPr>
      <w:r>
        <w:t xml:space="preserve">Recyclability Percentage: 85%</w:t>
      </w:r>
    </w:p>
    <w:p>
      <w:pPr>
        <w:numPr>
          <w:ilvl w:val="0"/>
          <w:numId w:val="1015"/>
        </w:numPr>
        <w:pStyle w:val="Compact"/>
      </w:pPr>
      <w:r>
        <w:t xml:space="preserve">Non-recyclable portion: 15% * 0.5 kg = 0.075 kg</w:t>
      </w:r>
    </w:p>
    <w:p>
      <w:pPr>
        <w:numPr>
          <w:ilvl w:val="0"/>
          <w:numId w:val="1015"/>
        </w:numPr>
        <w:pStyle w:val="Compact"/>
      </w:pPr>
      <w:r>
        <w:t xml:space="preserve">Emissions from non-recycled waste (landfill/incineration): 0.075 kg * 1.0 kg CO2e/kg = 0.075 kg CO2e</w:t>
      </w:r>
    </w:p>
    <w:p>
      <w:pPr>
        <w:numPr>
          <w:ilvl w:val="0"/>
          <w:numId w:val="1015"/>
        </w:numPr>
        <w:pStyle w:val="Compact"/>
      </w:pPr>
      <w:r>
        <w:rPr>
          <w:bCs/>
          <w:b/>
        </w:rPr>
        <w:t xml:space="preserve">Recycling Benefit:</w:t>
      </w:r>
      <w:r>
        <w:t xml:space="preserve"> </w:t>
      </w:r>
      <w:r>
        <w:t xml:space="preserve">The "Active product take-back and refurbishment program" (sjrdmgyqnu) along with 85% recyclability (qgqlrknojx) signifies significant avoided emissions. Assuming a 70% reduction in virgin material production for the recycled portion:</w:t>
      </w:r>
    </w:p>
    <w:p>
      <w:pPr>
        <w:numPr>
          <w:ilvl w:val="1"/>
          <w:numId w:val="1016"/>
        </w:numPr>
        <w:pStyle w:val="Compact"/>
      </w:pPr>
      <w:r>
        <w:t xml:space="preserve">Recycled portion weight: 0.85 * 0.5 kg = 0.425 kg</w:t>
      </w:r>
    </w:p>
    <w:p>
      <w:pPr>
        <w:numPr>
          <w:ilvl w:val="1"/>
          <w:numId w:val="1016"/>
        </w:numPr>
        <w:pStyle w:val="Compact"/>
      </w:pPr>
      <w:r>
        <w:t xml:space="preserve">Average virgin material impact reduction (example): 2.0 kg CO2e/kg material * 0.425 kg * 0.70 (reduction) = 0.595 kg CO2e (avoided emissions)</w:t>
      </w:r>
    </w:p>
    <w:p>
      <w:pPr>
        <w:numPr>
          <w:ilvl w:val="0"/>
          <w:numId w:val="1015"/>
        </w:numPr>
        <w:pStyle w:val="Compact"/>
      </w:pPr>
      <w:r>
        <w:t xml:space="preserve">Net EoL Emissions: 0.075 kg CO2e (disposal) - 0.595 kg CO2e (avoided emissions) = -0.52 kg CO2e. This negative value reflects the net benefit of recycling and circular programs.</w:t>
      </w:r>
    </w:p>
    <w:p>
      <w:pPr>
        <w:numPr>
          <w:ilvl w:val="0"/>
          <w:numId w:val="1015"/>
        </w:numPr>
        <w:pStyle w:val="Compact"/>
      </w:pPr>
      <w:r>
        <w:t xml:space="preserve">This falls under Scope 3, Category 12 (End-of-life treatment of sold products).</w:t>
      </w:r>
    </w:p>
    <w:p>
      <w:pPr>
        <w:pStyle w:val="FirstParagraph"/>
      </w:pPr>
      <w:r>
        <w:rPr>
          <w:bCs/>
          <w:b/>
        </w:rPr>
        <w:t xml:space="preserve">Subtotal Scope 3 (End-of-Life): -0.52 kg CO2e</w:t>
      </w:r>
    </w:p>
    <w:bookmarkEnd w:id="34"/>
    <w:bookmarkEnd w:id="35"/>
    <w:bookmarkStart w:id="36" w:name="summary-of-emissions-by-scope-and-stage"/>
    <w:p>
      <w:pPr>
        <w:pStyle w:val="Heading3"/>
      </w:pPr>
      <w:r>
        <w:t xml:space="preserve">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GHG Emissions (kg CO2e)</w:t>
            </w:r>
          </w:p>
        </w:tc>
      </w:tr>
      <w:tr>
        <w:tc>
          <w:tcPr/>
          <w:p>
            <w:pPr>
              <w:pStyle w:val="Compact"/>
              <w:jc w:val="left"/>
            </w:pPr>
            <w:r>
              <w:t xml:space="preserve">Scope 1</w:t>
            </w:r>
          </w:p>
        </w:tc>
        <w:tc>
          <w:tcPr/>
          <w:p>
            <w:pPr>
              <w:pStyle w:val="Compact"/>
              <w:jc w:val="left"/>
            </w:pPr>
            <w:r>
              <w:t xml:space="preserve">Direct Production Emissions (e.g., on-site fuel)</w:t>
            </w:r>
          </w:p>
        </w:tc>
        <w:tc>
          <w:tcPr/>
          <w:p>
            <w:pPr>
              <w:pStyle w:val="Compact"/>
              <w:jc w:val="left"/>
            </w:pPr>
            <w:r>
              <w:t xml:space="preserve">0.00 (Assumed negligible/covered by energy intensity)</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0.176</w:t>
            </w:r>
          </w:p>
        </w:tc>
      </w:tr>
      <w:tr>
        <w:tc>
          <w:tcPr/>
          <w:p>
            <w:pPr>
              <w:pStyle w:val="Compact"/>
              <w:jc w:val="left"/>
            </w:pPr>
            <w:r>
              <w:t xml:space="preserve">Scope 3</w:t>
            </w:r>
          </w:p>
        </w:tc>
        <w:tc>
          <w:tcPr/>
          <w:p>
            <w:pPr>
              <w:pStyle w:val="Compact"/>
              <w:jc w:val="left"/>
            </w:pPr>
            <w:r>
              <w:t xml:space="preserve">Upstream - Raw Materials &amp; Components</w:t>
            </w:r>
          </w:p>
        </w:tc>
        <w:tc>
          <w:tcPr/>
          <w:p>
            <w:pPr>
              <w:pStyle w:val="Compact"/>
              <w:jc w:val="left"/>
            </w:pPr>
            <w:r>
              <w:t xml:space="preserve">2.39</w:t>
            </w:r>
          </w:p>
        </w:tc>
      </w:tr>
      <w:tr>
        <w:tc>
          <w:tcPr/>
          <w:p>
            <w:pPr>
              <w:pStyle w:val="Compact"/>
              <w:jc w:val="left"/>
            </w:pPr>
            <w:r>
              <w:t xml:space="preserve">Scope 3</w:t>
            </w:r>
          </w:p>
        </w:tc>
        <w:tc>
          <w:tcPr/>
          <w:p>
            <w:pPr>
              <w:pStyle w:val="Compact"/>
              <w:jc w:val="left"/>
            </w:pPr>
            <w:r>
              <w:t xml:space="preserve">Downstream - Transportation</w:t>
            </w:r>
          </w:p>
        </w:tc>
        <w:tc>
          <w:tcPr/>
          <w:p>
            <w:pPr>
              <w:pStyle w:val="Compact"/>
              <w:jc w:val="left"/>
            </w:pPr>
            <w:r>
              <w:t xml:space="preserve">2.54</w:t>
            </w:r>
          </w:p>
        </w:tc>
      </w:tr>
      <w:tr>
        <w:tc>
          <w:tcPr/>
          <w:p>
            <w:pPr>
              <w:pStyle w:val="Compact"/>
              <w:jc w:val="left"/>
            </w:pPr>
            <w:r>
              <w:t xml:space="preserve">Scope 3</w:t>
            </w:r>
          </w:p>
        </w:tc>
        <w:tc>
          <w:tcPr/>
          <w:p>
            <w:pPr>
              <w:pStyle w:val="Compact"/>
              <w:jc w:val="left"/>
            </w:pPr>
            <w:r>
              <w:t xml:space="preserve">Downstream - Use Phase</w:t>
            </w:r>
          </w:p>
        </w:tc>
        <w:tc>
          <w:tcPr/>
          <w:p>
            <w:pPr>
              <w:pStyle w:val="Compact"/>
              <w:jc w:val="left"/>
            </w:pPr>
            <w:r>
              <w:t xml:space="preserve">20.00</w:t>
            </w:r>
          </w:p>
        </w:tc>
      </w:tr>
      <w:tr>
        <w:tc>
          <w:tcPr/>
          <w:p>
            <w:pPr>
              <w:pStyle w:val="Compact"/>
              <w:jc w:val="left"/>
            </w:pPr>
            <w:r>
              <w:t xml:space="preserve">Scope 3</w:t>
            </w:r>
          </w:p>
        </w:tc>
        <w:tc>
          <w:tcPr/>
          <w:p>
            <w:pPr>
              <w:pStyle w:val="Compact"/>
              <w:jc w:val="left"/>
            </w:pPr>
            <w:r>
              <w:t xml:space="preserve">Downstream - End-of-Life (Net)</w:t>
            </w:r>
          </w:p>
        </w:tc>
        <w:tc>
          <w:tcPr/>
          <w:p>
            <w:pPr>
              <w:pStyle w:val="Compact"/>
              <w:jc w:val="left"/>
            </w:pPr>
            <w:r>
              <w:t xml:space="preserve">-0.52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24.586 kg CO2e</w:t>
            </w:r>
          </w:p>
        </w:tc>
      </w:tr>
    </w:tbl>
    <w:p>
      <w:pPr>
        <w:pStyle w:val="BodyText"/>
      </w:pPr>
      <w:r>
        <w:rPr>
          <w:bCs/>
          <w:b/>
        </w:rPr>
        <w:t xml:space="preserve">LSR Update Application:</w:t>
      </w:r>
      <w:r>
        <w:t xml:space="preserve"> </w:t>
      </w:r>
      <w:r>
        <w:t xml:space="preserve">The 2026 Land Sector and Removals (LSR) Standard is acknowledged. Given the product\'s nature and available data, no specific direct land use change emissions or biogenic carbon removals are explicitly quantified, but the framework for their inclusion is established. In a more detailed LCA with land-intensive materials, this would be crucial for accurate accounting. For this PCF, the focus is on industrial emissions and material impacts.</w:t>
      </w:r>
    </w:p>
    <w:p>
      <w:pPr>
        <w:pStyle w:val="BodyText"/>
      </w:pPr>
      <w:r>
        <w:rPr>
          <w:bCs/>
          <w:b/>
        </w:rPr>
        <w:t xml:space="preserve">Scope 3 Coverage:</w:t>
      </w:r>
      <w:r>
        <w:t xml:space="preserve"> </w:t>
      </w:r>
      <w:r>
        <w:t xml:space="preserve">With detailed data for materials, production energy, transport, use phase, and end-of-life, the Scope 3 coverage for this PCF analysis is estimated to be well over 95%, aligning with the 2026 GHG Protocol requirements.</w:t>
      </w:r>
    </w:p>
    <w:p>
      <w:r>
        <w:pict>
          <v:rect style="width:0;height:1.5pt" o:hralign="center" o:hrstd="t" o:hr="t"/>
        </w:pict>
      </w:r>
    </w:p>
    <w:bookmarkEnd w:id="36"/>
    <w:bookmarkEnd w:id="37"/>
    <w:bookmarkStart w:id="41" w:name="review-report"/>
    <w:p>
      <w:pPr>
        <w:pStyle w:val="Heading2"/>
      </w:pPr>
      <w:r>
        <w:t xml:space="preserve">5. Review &amp; Report</w:t>
      </w:r>
    </w:p>
    <w:p>
      <w:pPr>
        <w:pStyle w:val="FirstParagraph"/>
      </w:pPr>
      <w:r>
        <w:t xml:space="preserve">The PCF analysis provides critical insights into the environmental performance of EcoGadget Pro, highlighting key emission hotspots and areas for improvement.</w:t>
      </w:r>
    </w:p>
    <w:bookmarkStart w:id="38" w:name="emission-hotspots"/>
    <w:p>
      <w:pPr>
        <w:pStyle w:val="Heading3"/>
      </w:pPr>
      <w:r>
        <w:t xml:space="preserve">Emission Hotspots:</w:t>
      </w:r>
    </w:p>
    <w:p>
      <w:pPr>
        <w:numPr>
          <w:ilvl w:val="0"/>
          <w:numId w:val="1017"/>
        </w:numPr>
        <w:pStyle w:val="Compact"/>
      </w:pPr>
      <w:r>
        <w:rPr>
          <w:bCs/>
          <w:b/>
        </w:rPr>
        <w:t xml:space="preserve">Use Phase (81.3% of total PCF):</w:t>
      </w:r>
      <w:r>
        <w:t xml:space="preserve"> </w:t>
      </w:r>
      <w:r>
        <w:t xml:space="preserve">This is the most significant hotspot, primarily due to the ongoing electricity consumption of the product over its 5-year lifespan. Reducing energy consumption during use or encouraging users to power the device with renewable energy sources would yield substantial benefits.</w:t>
      </w:r>
    </w:p>
    <w:p>
      <w:pPr>
        <w:numPr>
          <w:ilvl w:val="0"/>
          <w:numId w:val="1017"/>
        </w:numPr>
        <w:pStyle w:val="Compact"/>
      </w:pPr>
      <w:r>
        <w:rPr>
          <w:bCs/>
          <w:b/>
        </w:rPr>
        <w:t xml:space="preserve">Transportation (10.3% of total PCF):</w:t>
      </w:r>
      <w:r>
        <w:t xml:space="preserve"> </w:t>
      </w:r>
      <w:r>
        <w:t xml:space="preserve">While ocean freight is relatively efficient per tonne-km, the long distance to market and the last-mile delivery contribute significantly. Optimizing logistics, exploring closer manufacturing hubs, or using lower-emission last-mile solutions (e.g., bicycle couriers in urban areas) could reduce this impact.</w:t>
      </w:r>
    </w:p>
    <w:p>
      <w:pPr>
        <w:numPr>
          <w:ilvl w:val="0"/>
          <w:numId w:val="1017"/>
        </w:numPr>
        <w:pStyle w:val="Compact"/>
      </w:pPr>
      <w:r>
        <w:rPr>
          <w:bCs/>
          <w:b/>
        </w:rPr>
        <w:t xml:space="preserve">Raw Materials &amp; Components (9.7% of total PCF):</w:t>
      </w:r>
      <w:r>
        <w:t xml:space="preserve"> </w:t>
      </w:r>
      <w:r>
        <w:t xml:space="preserve">The embodied emissions in materials, particularly the aluminum casing and circuit board, represent a notable portion. Material lightweighting, increasing recycled content, or sourcing from suppliers with lower carbon footprints are key strategies.</w:t>
      </w:r>
    </w:p>
    <w:bookmarkEnd w:id="38"/>
    <w:bookmarkStart w:id="39" w:name="reliability-and-limitations"/>
    <w:p>
      <w:pPr>
        <w:pStyle w:val="Heading3"/>
      </w:pPr>
      <w:r>
        <w:t xml:space="preserve">Reliability and Limitations:</w:t>
      </w:r>
    </w:p>
    <w:p>
      <w:pPr>
        <w:numPr>
          <w:ilvl w:val="0"/>
          <w:numId w:val="1018"/>
        </w:numPr>
        <w:pStyle w:val="Compact"/>
      </w:pPr>
      <w:r>
        <w:t xml:space="preserve">The accuracy of this PCF relies heavily on the quality of the input data. Primary data for BOM, energy consumption, and logistics are strong points.</w:t>
      </w:r>
    </w:p>
    <w:p>
      <w:pPr>
        <w:numPr>
          <w:ilvl w:val="0"/>
          <w:numId w:val="1018"/>
        </w:numPr>
        <w:pStyle w:val="Compact"/>
      </w:pPr>
      <w:r>
        <w:t xml:space="preserve">Secondary emission factors from databases like Ecoinvent/DEFRA provide robust estimates for generic processes but may not perfectly reflect specific supplier processes.</w:t>
      </w:r>
    </w:p>
    <w:p>
      <w:pPr>
        <w:numPr>
          <w:ilvl w:val="0"/>
          <w:numId w:val="1018"/>
        </w:numPr>
        <w:pStyle w:val="Compact"/>
      </w:pPr>
      <w:r>
        <w:t xml:space="preserve">Assumptions made for last-mile delivery distance, average product weight for transport, and use-phase energy mix introduce a degree of uncertainty.</w:t>
      </w:r>
    </w:p>
    <w:p>
      <w:pPr>
        <w:numPr>
          <w:ilvl w:val="0"/>
          <w:numId w:val="1018"/>
        </w:numPr>
        <w:pStyle w:val="Compact"/>
      </w:pPr>
      <w:r>
        <w:t xml:space="preserve">The qualitative assessment of the "Active product take-back and refurbishment program" provides a net benefit, but specific data on actual return rates and refurbishment impacts would refine this.</w:t>
      </w:r>
    </w:p>
    <w:p>
      <w:pPr>
        <w:numPr>
          <w:ilvl w:val="0"/>
          <w:numId w:val="1018"/>
        </w:numPr>
        <w:pStyle w:val="Compact"/>
      </w:pPr>
      <w:r>
        <w:t xml:space="preserve">Further primary data collection, particularly from direct suppliers for all components and actual energy mix at production facilities, would enhance the accuracy and reduce uncertainties.</w:t>
      </w:r>
    </w:p>
    <w:bookmarkEnd w:id="39"/>
    <w:bookmarkStart w:id="40" w:name="recommendations"/>
    <w:p>
      <w:pPr>
        <w:pStyle w:val="Heading3"/>
      </w:pPr>
      <w:r>
        <w:t xml:space="preserve">Recommendations:</w:t>
      </w:r>
    </w:p>
    <w:p>
      <w:pPr>
        <w:numPr>
          <w:ilvl w:val="0"/>
          <w:numId w:val="1019"/>
        </w:numPr>
        <w:pStyle w:val="Compact"/>
      </w:pPr>
      <w:r>
        <w:rPr>
          <w:bCs/>
          <w:b/>
        </w:rPr>
        <w:t xml:space="preserve">Design for Energy Efficiency:</w:t>
      </w:r>
      <w:r>
        <w:t xml:space="preserve"> </w:t>
      </w:r>
      <w:r>
        <w:t xml:space="preserve">Prioritize design improvements to drastically reduce the EcoGadget Pro\'s energy consumption during the use phase.</w:t>
      </w:r>
    </w:p>
    <w:p>
      <w:pPr>
        <w:numPr>
          <w:ilvl w:val="0"/>
          <w:numId w:val="1019"/>
        </w:numPr>
        <w:pStyle w:val="Compact"/>
      </w:pPr>
      <w:r>
        <w:rPr>
          <w:bCs/>
          <w:b/>
        </w:rPr>
        <w:t xml:space="preserve">Renewable Energy Sourcing:</w:t>
      </w:r>
      <w:r>
        <w:t xml:space="preserve"> </w:t>
      </w:r>
      <w:r>
        <w:t xml:space="preserve">Investigate opportunities to further increase renewable energy usage in manufacturing and encourage customers to use renewable electricity.</w:t>
      </w:r>
    </w:p>
    <w:p>
      <w:pPr>
        <w:numPr>
          <w:ilvl w:val="0"/>
          <w:numId w:val="1019"/>
        </w:numPr>
        <w:pStyle w:val="Compact"/>
      </w:pPr>
      <w:r>
        <w:rPr>
          <w:bCs/>
          <w:b/>
        </w:rPr>
        <w:t xml:space="preserve">Supply Chain Optimization:</w:t>
      </w:r>
      <w:r>
        <w:t xml:space="preserve"> </w:t>
      </w:r>
      <w:r>
        <w:t xml:space="preserve">Work with suppliers to reduce the carbon footprint of raw materials, explore options for regional sourcing where feasible, and optimize transport routes and modes.</w:t>
      </w:r>
    </w:p>
    <w:p>
      <w:pPr>
        <w:numPr>
          <w:ilvl w:val="0"/>
          <w:numId w:val="1019"/>
        </w:numPr>
        <w:pStyle w:val="Compact"/>
      </w:pPr>
      <w:r>
        <w:rPr>
          <w:bCs/>
          <w:b/>
        </w:rPr>
        <w:t xml:space="preserve">Circular Economy Integration:</w:t>
      </w:r>
      <w:r>
        <w:t xml:space="preserve"> </w:t>
      </w:r>
      <w:r>
        <w:t xml:space="preserve">Continue to strengthen the take-back and refurbishment programs, aiming for higher return rates and longer product lifespans through repairability and modular design.</w:t>
      </w:r>
    </w:p>
    <w:p>
      <w:pPr>
        <w:numPr>
          <w:ilvl w:val="0"/>
          <w:numId w:val="1019"/>
        </w:numPr>
        <w:pStyle w:val="Compact"/>
      </w:pPr>
      <w:r>
        <w:rPr>
          <w:bCs/>
          <w:b/>
        </w:rPr>
        <w:t xml:space="preserve">Material Innovation:</w:t>
      </w:r>
      <w:r>
        <w:t xml:space="preserve"> </w:t>
      </w:r>
      <w:r>
        <w:t xml:space="preserve">Research and incorporate lower-carbon materials, including increased use of recycled content, especially for high-impact components like aluminum and plastics.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EcoGadget Pro (dysqtryfzd)</dc:title>
  <dc:creator/>
  <dc:description>Detailed Product Carbon Footprint (PCF) analysis report for EcoGadget Pro (dysqtryfzd) by Innovate Green Corp (jzegqphfks), adhering to GHG Protocol standards and 2026 LSR updates.</dc:description>
  <dc:language>en</dc:language>
  <cp:keywords/>
  <dcterms:created xsi:type="dcterms:W3CDTF">2026-05-30T11:31:27Z</dcterms:created>
  <dcterms:modified xsi:type="dcterms:W3CDTF">2026-05-30T11:31:27Z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