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(dtvzskspeq)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EcoGadget Pro (dtvzskspeq)</w:t>
      </w:r>
    </w:p>
    <w:p>
      <w:pPr>
        <w:pStyle w:val="BodyText"/>
      </w:pPr>
      <w:r>
        <w:rPr>
          <w:bCs/>
          <w:b/>
        </w:rPr>
        <w:t xml:space="preserve">Company Name:</w:t>
      </w:r>
      <w:r>
        <w:t xml:space="preserve"> </w:t>
      </w:r>
      <w:r>
        <w:t xml:space="preserve">Global Innovations Corp. (kpihvhklzi)</w:t>
      </w:r>
    </w:p>
    <w:p>
      <w:pPr>
        <w:pStyle w:val="BodyText"/>
      </w:pPr>
      <w:r>
        <w:rPr>
          <w:bCs/>
          <w:b/>
        </w:rPr>
        <w:t xml:space="preserve">Senior Sustainability Consultant:</w:t>
      </w:r>
      <w:r>
        <w:t xml:space="preserve"> </w:t>
      </w:r>
      <w:r>
        <w:t xml:space="preserve">Dr. Emily Chen (gtfodhxysj)</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data precision and evolving methodologies.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EcoGadget Pro (dtvzskspeq)</w:t>
      </w:r>
    </w:p>
    <w:p>
      <w:pPr>
        <w:pStyle w:val="BodyText"/>
      </w:pPr>
      <w:r>
        <w:rPr>
          <w:bCs/>
          <w:b/>
        </w:rPr>
        <w:t xml:space="preserve">Company:</w:t>
      </w:r>
      <w:r>
        <w:t xml:space="preserve"> </w:t>
      </w:r>
      <w:r>
        <w:t xml:space="preserve">Global Innovations Corp. (kpihvhklzi)</w:t>
      </w:r>
    </w:p>
    <w:p>
      <w:pPr>
        <w:pStyle w:val="BodyText"/>
      </w:pPr>
      <w:r>
        <w:rPr>
          <w:bCs/>
          <w:b/>
        </w:rPr>
        <w:t xml:space="preserve">Consultant:</w:t>
      </w:r>
      <w:r>
        <w:t xml:space="preserve"> </w:t>
      </w:r>
      <w:r>
        <w:t xml:space="preserve">Dr. Emily Chen (gtfodhxysj)</w:t>
      </w:r>
    </w:p>
    <w:p>
      <w:pPr>
        <w:pStyle w:val="BodyText"/>
      </w:pPr>
      <w:r>
        <w:rPr>
          <w:bCs/>
          <w:b/>
        </w:rPr>
        <w:t xml:space="preserve">Generated Date:</w:t>
      </w:r>
      <w:r>
        <w:t xml:space="preserve"> </w:t>
      </w:r>
      <w:r>
        <w:t xml:space="preserve">June 02,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Product Carbon Footprint (PCF) report provides a high-detail analysis for EcoGadget Pro (dtvzskspeq), manufactured by Global Innovations Corp. (kpihvhklzi). Prepared by Senior Sustainability Consultant Dr. Emily Chen (gtfodhxysj), the analysis adheres strictly to the GHG Protocol accounting standard, incorporating the latest 2026 updates including the Land Sector and Removals (LSR) Standard and stringent Scope 3 coverage requirements. The PCF quantifies greenhouse gas emissions across the product\'s lifecycle, from raw material extraction to end-of-life, revealing key hotspots and opportunities for decarbonization. The total estimated Product Carbon Footprint for one functional unit of EcoGadget Pro is</w:t>
      </w:r>
      <w:r>
        <w:t xml:space="preserve"> </w:t>
      </w:r>
      <w:r>
        <w:rPr>
          <w:bCs/>
          <w:b/>
        </w:rPr>
        <w:t xml:space="preserve">28.54 kg CO2e</w:t>
      </w:r>
      <w:r>
        <w:t xml:space="preserve">.</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foundation of this Product Carbon Footprint (PCF) analysis is a clearly defined scope, ensuring consistency and comparability of results.</w:t>
      </w:r>
    </w:p>
    <w:p>
      <w:pPr>
        <w:numPr>
          <w:ilvl w:val="0"/>
          <w:numId w:val="1001"/>
        </w:numPr>
        <w:pStyle w:val="Compact"/>
      </w:pPr>
      <w:r>
        <w:rPr>
          <w:bCs/>
          <w:b/>
        </w:rPr>
        <w:t xml:space="preserve">Functional Unit:</w:t>
      </w:r>
      <w:r>
        <w:t xml:space="preserve"> </w:t>
      </w:r>
      <w:r>
        <w:t xml:space="preserve">The analysis is conducted for 1.0 unit of the EcoGadget Pro (dtvzskspeq).</w:t>
      </w:r>
    </w:p>
    <w:p>
      <w:pPr>
        <w:numPr>
          <w:ilvl w:val="0"/>
          <w:numId w:val="1001"/>
        </w:numPr>
        <w:pStyle w:val="Compact"/>
      </w:pPr>
      <w:r>
        <w:rPr>
          <w:bCs/>
          <w:b/>
        </w:rPr>
        <w:t xml:space="preserve">System Boundary:</w:t>
      </w:r>
      <w:r>
        <w:t xml:space="preserve"> </w:t>
      </w:r>
      <w:r>
        <w:t xml:space="preserve">A "factory_gate" system boundary is applied for the initial production phase, meaning the analysis covers all processes from raw material acquisition up to the point the finished product leaves the manufacturing facility. However, per the requirements for a full PCF, the scope extends beyond the factory gate to include transport to customer, use phase, and end-of-life.</w:t>
      </w:r>
    </w:p>
    <w:p>
      <w:pPr>
        <w:numPr>
          <w:ilvl w:val="0"/>
          <w:numId w:val="1001"/>
        </w:numPr>
        <w:pStyle w:val="Compact"/>
      </w:pPr>
      <w:r>
        <w:rPr>
          <w:bCs/>
          <w:b/>
        </w:rPr>
        <w:t xml:space="preserve">Geographic Scope:</w:t>
      </w:r>
      <w:r>
        <w:t xml:space="preserve"> </w:t>
      </w:r>
      <w:r>
        <w:t xml:space="preserve">The final production country is China, with a supply chain focus on Europe for sourcing and sales.</w:t>
      </w:r>
    </w:p>
    <w:p>
      <w:pPr>
        <w:numPr>
          <w:ilvl w:val="0"/>
          <w:numId w:val="1001"/>
        </w:numPr>
        <w:pStyle w:val="Compact"/>
      </w:pPr>
      <w:r>
        <w:rPr>
          <w:bCs/>
          <w:b/>
        </w:rPr>
        <w:t xml:space="preserve">Accounting Standard:</w:t>
      </w:r>
      <w:r>
        <w:t xml:space="preserve"> </w:t>
      </w:r>
      <w:r>
        <w:t xml:space="preserve">The analysis rigorously follows the</w:t>
      </w:r>
      <w:r>
        <w:t xml:space="preserve"> </w:t>
      </w:r>
      <w:r>
        <w:rPr>
          <w:bCs/>
          <w:b/>
        </w:rPr>
        <w:t xml:space="preserve">GHG Protocol</w:t>
      </w:r>
      <w:r>
        <w:t xml:space="preserve"> </w:t>
      </w:r>
      <w:r>
        <w:t xml:space="preserve">Corporate Value Chain (Scope 3)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For multi-output processes, economic allocation is generally applied where appropriate, though primary data from the Detailed Bill of Materials (BOM) simplifies this for material impacts by providing specific emission factors per unit.</w:t>
      </w:r>
    </w:p>
    <w:p>
      <w:r>
        <w:pict>
          <v:rect style="width:0;height:1.5pt" o:hralign="center" o:hrstd="t" o:hr="t"/>
        </w:pict>
      </w:r>
    </w:p>
    <w:bookmarkEnd w:id="23"/>
    <w:bookmarkStart w:id="29" w:name="mapping-the-lifecycle-data-collection"/>
    <w:p>
      <w:pPr>
        <w:pStyle w:val="Heading2"/>
      </w:pPr>
      <w:r>
        <w:t xml:space="preserve">2. &amp; 3. Mapping the Lifecycle &amp; Data Collection</w:t>
      </w:r>
    </w:p>
    <w:p>
      <w:pPr>
        <w:pStyle w:val="FirstParagraph"/>
      </w:pPr>
      <w:r>
        <w:t xml:space="preserve">The lifecycle of the EcoGadget Pro (dtvzskspeq) is mapped across key stages: Raw Material Acquisition, Manufacturing, Transportation &amp; Distribution, Use Phase, and End-of-Life. Data collection prioritizes primary data, particularly from the Detailed Bill of Materials (BOM), supplemented by secondary data from industry-standard databases for emission factors where primary data is unavailable or less specific.</w:t>
      </w:r>
    </w:p>
    <w:bookmarkStart w:id="24" w:name="Xf27d8db5a57c5bea5dd5de1e447496b656dfea9"/>
    <w:p>
      <w:pPr>
        <w:pStyle w:val="Heading3"/>
      </w:pPr>
      <w:r>
        <w:t xml:space="preserve">Detailed Bill of Materials (BOM) - fmjzzhmv</w:t>
      </w:r>
    </w:p>
    <w:p>
      <w:pPr>
        <w:pStyle w:val="FirstParagraph"/>
      </w:pPr>
      <w:r>
        <w:t xml:space="preserve">The following table presents the specific materials used in the EcoGadget Pro, along with their quantities, associated processes, emission factors, and calculated total carbon impact. This detailed data ensures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8.0</w:t>
            </w:r>
          </w:p>
        </w:tc>
        <w:tc>
          <w:tcPr/>
          <w:p>
            <w:pPr>
              <w:pStyle w:val="Compact"/>
              <w:jc w:val="left"/>
            </w:pPr>
            <w:r>
              <w:t xml:space="preserve">6.40</w:t>
            </w:r>
          </w:p>
        </w:tc>
      </w:tr>
      <w:tr>
        <w:tc>
          <w:tcPr/>
          <w:p>
            <w:pPr>
              <w:pStyle w:val="Compact"/>
              <w:jc w:val="left"/>
            </w:pPr>
            <w:r>
              <w:t xml:space="preserve">P001</w:t>
            </w:r>
          </w:p>
        </w:tc>
        <w:tc>
          <w:tcPr/>
          <w:p>
            <w:pPr>
              <w:pStyle w:val="Compact"/>
              <w:jc w:val="left"/>
            </w:pPr>
            <w:r>
              <w:t xml:space="preserve">Recycled ABS Plastic (Internal Components)</w:t>
            </w:r>
          </w:p>
        </w:tc>
        <w:tc>
          <w:tcPr/>
          <w:p>
            <w:pPr>
              <w:pStyle w:val="Compact"/>
              <w:jc w:val="left"/>
            </w:pPr>
            <w:r>
              <w:t xml:space="preserve">Plastic</w:t>
            </w:r>
          </w:p>
        </w:tc>
        <w:tc>
          <w:tcPr/>
          <w:p>
            <w:pPr>
              <w:pStyle w:val="Compact"/>
              <w:jc w:val="left"/>
            </w:pPr>
            <w:r>
              <w:t xml:space="preserve">Recycled Plastic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p>
            <w:pPr>
              <w:pStyle w:val="Compact"/>
              <w:jc w:val="left"/>
            </w:pPr>
            <w:r>
              <w:t xml:space="preserve">E001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S001</w:t>
            </w:r>
          </w:p>
        </w:tc>
        <w:tc>
          <w:tcPr/>
          <w:p>
            <w:pPr>
              <w:pStyle w:val="Compact"/>
              <w:jc w:val="left"/>
            </w:pPr>
            <w:r>
              <w:t xml:space="preserve">Semiconductor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B001</w:t>
            </w:r>
          </w:p>
        </w:tc>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PCB001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0.80</w:t>
            </w:r>
          </w:p>
        </w:tc>
      </w:tr>
      <w:tr>
        <w:tc>
          <w:tcPr/>
          <w:p>
            <w:pPr>
              <w:pStyle w:val="Compact"/>
              <w:jc w:val="left"/>
            </w:pPr>
            <w:r>
              <w:t xml:space="preserve">PKG001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Emissions (Scope 3, Category 1):</w:t>
      </w:r>
      <w:r>
        <w:t xml:space="preserve"> </w:t>
      </w:r>
      <w:r>
        <w:t xml:space="preserve">15.31 kg CO2e</w:t>
      </w:r>
    </w:p>
    <w:bookmarkEnd w:id="24"/>
    <w:bookmarkStart w:id="25" w:name="X5a199042327575bab5e3cf0fa55899d2b531f9b"/>
    <w:p>
      <w:pPr>
        <w:pStyle w:val="Heading3"/>
      </w:pPr>
      <w:r>
        <w:t xml:space="preserve">Energy Inputs &amp; Customization (Production Phase)</w:t>
      </w:r>
    </w:p>
    <w:p>
      <w:pPr>
        <w:numPr>
          <w:ilvl w:val="0"/>
          <w:numId w:val="1002"/>
        </w:numPr>
        <w:pStyle w:val="Compact"/>
      </w:pPr>
      <w:r>
        <w:rPr>
          <w:bCs/>
          <w:b/>
        </w:rPr>
        <w:t xml:space="preserve">Energy Intensity (kWh/unit):</w:t>
      </w:r>
      <w:r>
        <w:t xml:space="preserve"> </w:t>
      </w:r>
      <w:r>
        <w:t xml:space="preserve">nqlxwenjeo (15 kWh/unit)</w:t>
      </w:r>
    </w:p>
    <w:p>
      <w:pPr>
        <w:numPr>
          <w:ilvl w:val="0"/>
          <w:numId w:val="1002"/>
        </w:numPr>
        <w:pStyle w:val="Compact"/>
      </w:pPr>
      <w:r>
        <w:rPr>
          <w:bCs/>
          <w:b/>
        </w:rPr>
        <w:t xml:space="preserve">Renewable Energy Usage:</w:t>
      </w:r>
      <w:r>
        <w:t xml:space="preserve"> </w:t>
      </w:r>
      <w:r>
        <w:t xml:space="preserve">yyoqwzvyuk (70%)</w:t>
      </w:r>
    </w:p>
    <w:p>
      <w:pPr>
        <w:numPr>
          <w:ilvl w:val="0"/>
          <w:numId w:val="1002"/>
        </w:numPr>
        <w:pStyle w:val="Compact"/>
      </w:pPr>
      <w:r>
        <w:rPr>
          <w:bCs/>
          <w:b/>
        </w:rPr>
        <w:t xml:space="preserve">Non-Renewable Energy Usage:</w:t>
      </w:r>
      <w:r>
        <w:t xml:space="preserve"> </w:t>
      </w:r>
      <w:r>
        <w:t xml:space="preserve">30%</w:t>
      </w:r>
    </w:p>
    <w:p>
      <w:pPr>
        <w:numPr>
          <w:ilvl w:val="0"/>
          <w:numId w:val="1002"/>
        </w:numPr>
        <w:pStyle w:val="Compact"/>
      </w:pPr>
      <w:r>
        <w:rPr>
          <w:bCs/>
          <w:b/>
        </w:rPr>
        <w:t xml:space="preserve">Grid Emission Factor (China):</w:t>
      </w:r>
      <w:r>
        <w:t xml:space="preserve"> </w:t>
      </w:r>
      <w:r>
        <w:t xml:space="preserve">0.6 kg CO2e/kWh (assumed industry average for non-renewable electricity)</w:t>
      </w:r>
    </w:p>
    <w:bookmarkEnd w:id="25"/>
    <w:bookmarkStart w:id="26" w:name="logistics-data-supply-chain"/>
    <w:p>
      <w:pPr>
        <w:pStyle w:val="Heading3"/>
      </w:pPr>
      <w:r>
        <w:t xml:space="preserve">Logistics Data (Supply Chain)</w:t>
      </w:r>
    </w:p>
    <w:p>
      <w:pPr>
        <w:numPr>
          <w:ilvl w:val="0"/>
          <w:numId w:val="1003"/>
        </w:numPr>
        <w:pStyle w:val="Compact"/>
      </w:pPr>
      <w:r>
        <w:rPr>
          <w:bCs/>
          <w:b/>
        </w:rPr>
        <w:t xml:space="preserve">Total Product Weight (with packaging):</w:t>
      </w:r>
      <w:r>
        <w:t xml:space="preserve"> </w:t>
      </w:r>
      <w:r>
        <w:t xml:space="preserve">1.85 kg</w:t>
      </w:r>
    </w:p>
    <w:p>
      <w:pPr>
        <w:numPr>
          <w:ilvl w:val="0"/>
          <w:numId w:val="1003"/>
        </w:numPr>
        <w:pStyle w:val="Compact"/>
      </w:pPr>
      <w:r>
        <w:rPr>
          <w:bCs/>
          <w:b/>
        </w:rPr>
        <w:t xml:space="preserve">Main Transport Mode (Factory to Distribution Hub):</w:t>
      </w:r>
      <w:r>
        <w:t xml:space="preserve"> </w:t>
      </w:r>
      <w:r>
        <w:t xml:space="preserve">Road Freight (representative for \'Select Mode\')</w:t>
      </w:r>
    </w:p>
    <w:p>
      <w:pPr>
        <w:numPr>
          <w:ilvl w:val="0"/>
          <w:numId w:val="1003"/>
        </w:numPr>
        <w:pStyle w:val="Compact"/>
      </w:pPr>
      <w:r>
        <w:rPr>
          <w:bCs/>
          <w:b/>
        </w:rPr>
        <w:t xml:space="preserve">Main Transport Distance:</w:t>
      </w:r>
      <w:r>
        <w:t xml:space="preserve"> </w:t>
      </w:r>
      <w:r>
        <w:t xml:space="preserve">vrilhmjlue (2500 km)</w:t>
      </w:r>
    </w:p>
    <w:p>
      <w:pPr>
        <w:numPr>
          <w:ilvl w:val="0"/>
          <w:numId w:val="1003"/>
        </w:numPr>
        <w:pStyle w:val="Compact"/>
      </w:pPr>
      <w:r>
        <w:rPr>
          <w:bCs/>
          <w:b/>
        </w:rPr>
        <w:t xml:space="preserve">Main Transport Emission Factor:</w:t>
      </w:r>
      <w:r>
        <w:t xml:space="preserve"> </w:t>
      </w:r>
      <w:r>
        <w:t xml:space="preserve">0.09 kg CO2e/tonne-km (industry average for heavy-duty road freight)</w:t>
      </w:r>
    </w:p>
    <w:p>
      <w:pPr>
        <w:numPr>
          <w:ilvl w:val="0"/>
          <w:numId w:val="1003"/>
        </w:numPr>
        <w:pStyle w:val="Compact"/>
      </w:pPr>
      <w:r>
        <w:rPr>
          <w:bCs/>
          <w:b/>
        </w:rPr>
        <w:t xml:space="preserve">Last-Mile Delivery Channel:</w:t>
      </w:r>
      <w:r>
        <w:t xml:space="preserve"> </w:t>
      </w:r>
      <w:r>
        <w:t xml:space="preserve">Van Delivery (representative for \'Delivery Type\')</w:t>
      </w:r>
    </w:p>
    <w:p>
      <w:pPr>
        <w:numPr>
          <w:ilvl w:val="0"/>
          <w:numId w:val="1003"/>
        </w:numPr>
        <w:pStyle w:val="Compact"/>
      </w:pPr>
      <w:r>
        <w:rPr>
          <w:bCs/>
          <w:b/>
        </w:rPr>
        <w:t xml:space="preserve">Last-Mile Delivery Distance (assumed average):</w:t>
      </w:r>
      <w:r>
        <w:t xml:space="preserve"> </w:t>
      </w:r>
      <w:r>
        <w:t xml:space="preserve">50 km</w:t>
      </w:r>
    </w:p>
    <w:p>
      <w:pPr>
        <w:numPr>
          <w:ilvl w:val="0"/>
          <w:numId w:val="1003"/>
        </w:numPr>
        <w:pStyle w:val="Compact"/>
      </w:pPr>
      <w:r>
        <w:rPr>
          <w:bCs/>
          <w:b/>
        </w:rPr>
        <w:t xml:space="preserve">Last-Mile Emission Factor:</w:t>
      </w:r>
      <w:r>
        <w:t xml:space="preserve"> </w:t>
      </w:r>
      <w:r>
        <w:t xml:space="preserve">0.2 kg CO2e/tonne-km (industry average for light commercial vehicles)</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znydxykujs (5 years)</w:t>
      </w:r>
    </w:p>
    <w:p>
      <w:pPr>
        <w:numPr>
          <w:ilvl w:val="0"/>
          <w:numId w:val="1004"/>
        </w:numPr>
        <w:pStyle w:val="Compact"/>
      </w:pPr>
      <w:r>
        <w:rPr>
          <w:bCs/>
          <w:b/>
        </w:rPr>
        <w:t xml:space="preserve">Energy Consumption in Use (Annual):</w:t>
      </w:r>
      <w:r>
        <w:t xml:space="preserve"> </w:t>
      </w:r>
      <w:r>
        <w:t xml:space="preserve">vzwsfzfsqg (10 kWh/year)</w:t>
      </w:r>
    </w:p>
    <w:p>
      <w:pPr>
        <w:numPr>
          <w:ilvl w:val="0"/>
          <w:numId w:val="1004"/>
        </w:numPr>
        <w:pStyle w:val="Compact"/>
      </w:pPr>
      <w:r>
        <w:rPr>
          <w:bCs/>
          <w:b/>
        </w:rPr>
        <w:t xml:space="preserve">Electricity Grid Emission Factor (Europe average for use phase):</w:t>
      </w:r>
      <w:r>
        <w:t xml:space="preserve"> </w:t>
      </w:r>
      <w:r>
        <w:t xml:space="preserve">0.2 kg CO2e/kWh (assumed industry average)</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kftupsqfrf (80%)</w:t>
      </w:r>
    </w:p>
    <w:p>
      <w:pPr>
        <w:numPr>
          <w:ilvl w:val="0"/>
          <w:numId w:val="1005"/>
        </w:numPr>
        <w:pStyle w:val="Compact"/>
      </w:pPr>
      <w:r>
        <w:rPr>
          <w:bCs/>
          <w:b/>
        </w:rPr>
        <w:t xml:space="preserve">Circular/Take-back Programs:</w:t>
      </w:r>
      <w:r>
        <w:t xml:space="preserve"> </w:t>
      </w:r>
      <w:r>
        <w:t xml:space="preserve">eyjkrturew (Product buy-back program in key markets)</w:t>
      </w:r>
    </w:p>
    <w:p>
      <w:pPr>
        <w:numPr>
          <w:ilvl w:val="0"/>
          <w:numId w:val="1005"/>
        </w:numPr>
        <w:pStyle w:val="Compact"/>
      </w:pPr>
      <w:r>
        <w:rPr>
          <w:bCs/>
          <w:b/>
        </w:rPr>
        <w:t xml:space="preserve">Waste Disposal Emission Factor (Landfill, for non-recycled portion):</w:t>
      </w:r>
      <w:r>
        <w:t xml:space="preserve"> </w:t>
      </w:r>
      <w:r>
        <w:t xml:space="preserve">0.5 kg CO2e/kg (net of collection/processing)</w:t>
      </w:r>
    </w:p>
    <w:p>
      <w:r>
        <w:pict>
          <v:rect style="width:0;height:1.5pt" o:hralign="center" o:hrstd="t" o:hr="t"/>
        </w:pict>
      </w:r>
    </w:p>
    <w:bookmarkEnd w:id="28"/>
    <w:bookmarkEnd w:id="29"/>
    <w:bookmarkStart w:id="40" w:name="emission-calculation-and-categorization"/>
    <w:p>
      <w:pPr>
        <w:pStyle w:val="Heading2"/>
      </w:pPr>
      <w:r>
        <w:t xml:space="preserve">4. Emission Calculation and Categorization</w:t>
      </w:r>
    </w:p>
    <w:p>
      <w:pPr>
        <w:pStyle w:val="FirstParagraph"/>
      </w:pPr>
      <w:r>
        <w:t xml:space="preserve">Emissions are calculated for each lifecycle stage using the activity data and respective emission factors. The results are categorized according to the GHG Protocol into Scope 1, Scope 2, and Scope 3.</w:t>
      </w:r>
    </w:p>
    <w:bookmarkStart w:id="30" w:name="scope-1-emissions-direct-emissions"/>
    <w:p>
      <w:pPr>
        <w:pStyle w:val="Heading3"/>
      </w:pPr>
      <w:r>
        <w:t xml:space="preserve">Scope 1 Emissions (Direct Emissions)</w:t>
      </w:r>
    </w:p>
    <w:p>
      <w:pPr>
        <w:pStyle w:val="FirstParagraph"/>
      </w:pPr>
      <w:r>
        <w:t xml:space="preserve">For the EcoGadget Pro, direct Scope 1 emissions from owned or controlled sources (e.g., combustion of fuels in company vehicles or facilities) are not explicitly provided in the parameters. Based on the system boundary of \'factory_gate\' and focus on purchased electricity for manufacturing, direct combustion emissions are considered negligible or embedded within upstream Scope 3 factors for raw material extraction. If kpihvhklzi has direct fuel consumption at the manufacturing site, these would be quantified here.</w:t>
      </w:r>
    </w:p>
    <w:p>
      <w:pPr>
        <w:pStyle w:val="BodyText"/>
      </w:pPr>
      <w:r>
        <w:rPr>
          <w:bCs/>
          <w:b/>
        </w:rPr>
        <w:t xml:space="preserve">Total Scope 1 Emissions:</w:t>
      </w:r>
      <w:r>
        <w:t xml:space="preserve"> </w:t>
      </w:r>
      <w:r>
        <w:t xml:space="preserve">0.00 kg CO2e (based on provided parameters)</w:t>
      </w:r>
    </w:p>
    <w:bookmarkEnd w:id="30"/>
    <w:bookmarkStart w:id="31" w:name="scope-2-emissions-purchased-electricity"/>
    <w:p>
      <w:pPr>
        <w:pStyle w:val="Heading3"/>
      </w:pPr>
      <w:r>
        <w:t xml:space="preserve">Scope 2 Emissions (Purchased Electricity)</w:t>
      </w:r>
    </w:p>
    <w:p>
      <w:pPr>
        <w:pStyle w:val="FirstParagraph"/>
      </w:pPr>
      <w:r>
        <w:t xml:space="preserve">These are indirect emissions from the generation of purchased electricity consumed by the kpihvhklzi manufacturing facility in China.</w:t>
      </w:r>
    </w:p>
    <w:p>
      <w:pPr>
        <w:numPr>
          <w:ilvl w:val="0"/>
          <w:numId w:val="1006"/>
        </w:numPr>
        <w:pStyle w:val="Compact"/>
      </w:pPr>
      <w:r>
        <w:t xml:space="preserve">Energy Intensity: 15 kWh/unit</w:t>
      </w:r>
    </w:p>
    <w:p>
      <w:pPr>
        <w:numPr>
          <w:ilvl w:val="0"/>
          <w:numId w:val="1006"/>
        </w:numPr>
        <w:pStyle w:val="Compact"/>
      </w:pPr>
      <w:r>
        <w:t xml:space="preserve">Non-renewable electricity used: 15 kWh/unit * (1 - 0.70) = 4.5 kWh/unit</w:t>
      </w:r>
    </w:p>
    <w:p>
      <w:pPr>
        <w:numPr>
          <w:ilvl w:val="0"/>
          <w:numId w:val="1006"/>
        </w:numPr>
        <w:pStyle w:val="Compact"/>
      </w:pPr>
      <w:r>
        <w:t xml:space="preserve">Emissions from non-renewable electricity: 4.5 kWh/unit * 0.6 kg CO2e/kWh = 2.7 kg CO2e/unit</w:t>
      </w:r>
    </w:p>
    <w:p>
      <w:pPr>
        <w:pStyle w:val="FirstParagraph"/>
      </w:pPr>
      <w:r>
        <w:rPr>
          <w:bCs/>
          <w:b/>
        </w:rPr>
        <w:t xml:space="preserve">Total Scope 2 Emissions:</w:t>
      </w:r>
      <w:r>
        <w:t xml:space="preserve"> </w:t>
      </w:r>
      <w:r>
        <w:t xml:space="preserve">2.70 kg CO2e/unit</w:t>
      </w:r>
    </w:p>
    <w:bookmarkEnd w:id="31"/>
    <w:bookmarkStart w:id="36" w:name="scope-3-emissions-value-chain-emissions"/>
    <w:p>
      <w:pPr>
        <w:pStyle w:val="Heading3"/>
      </w:pPr>
      <w:r>
        <w:t xml:space="preserve">Scope 3 Emissions (Value Chain Emissions)</w:t>
      </w:r>
    </w:p>
    <w:p>
      <w:pPr>
        <w:pStyle w:val="FirstParagraph"/>
      </w:pPr>
      <w:r>
        <w:t xml:space="preserve">Scope 3 emissions represent all other indirect emissions that occur in the value chain of kpihvhklzi, both upstream and downstream.</w:t>
      </w:r>
    </w:p>
    <w:bookmarkStart w:id="32" w:name="Xab9729a0caae076ca89f2f71668734f92723cf2"/>
    <w:p>
      <w:pPr>
        <w:pStyle w:val="Heading4"/>
      </w:pPr>
      <w:r>
        <w:t xml:space="preserve">Category 1: Purchased Goods and Services (Materials)</w:t>
      </w:r>
    </w:p>
    <w:p>
      <w:pPr>
        <w:pStyle w:val="FirstParagraph"/>
      </w:pPr>
      <w:r>
        <w:t xml:space="preserve">This includes all emissions associated with the extraction, production, and transport of raw materials and components detailed in the BOM.</w:t>
      </w:r>
    </w:p>
    <w:p>
      <w:pPr>
        <w:numPr>
          <w:ilvl w:val="0"/>
          <w:numId w:val="1007"/>
        </w:numPr>
        <w:pStyle w:val="Compact"/>
      </w:pPr>
      <w:r>
        <w:t xml:space="preserve">Total from BOM (fmjzzhmv): 15.31 kg CO2e/unit</w:t>
      </w:r>
    </w:p>
    <w:p>
      <w:pPr>
        <w:pStyle w:val="FirstParagraph"/>
      </w:pPr>
      <w:r>
        <w:rPr>
          <w:bCs/>
          <w:b/>
        </w:rPr>
        <w:t xml:space="preserve">Emissions (Scope 3, Category 1):</w:t>
      </w:r>
      <w:r>
        <w:t xml:space="preserve"> </w:t>
      </w:r>
      <w:r>
        <w:t xml:space="preserve">15.31 kg CO2e/unit</w:t>
      </w:r>
    </w:p>
    <w:bookmarkEnd w:id="32"/>
    <w:bookmarkStart w:id="33" w:name="Xe89e0a56fad43ffa0ef954ec8eb4af10b66d99f"/>
    <w:p>
      <w:pPr>
        <w:pStyle w:val="Heading4"/>
      </w:pPr>
      <w:r>
        <w:t xml:space="preserve">Category 4 &amp; 9: Transportation and Distribution (Upstream &amp; Downstream)</w:t>
      </w:r>
    </w:p>
    <w:p>
      <w:pPr>
        <w:pStyle w:val="FirstParagraph"/>
      </w:pPr>
      <w:r>
        <w:t xml:space="preserve">This includes emissions from the transportation of the finished product from the factory in China to distribution hubs in Europe, and subsequently to the end-consumer via last-mile delivery.</w:t>
      </w:r>
    </w:p>
    <w:p>
      <w:pPr>
        <w:numPr>
          <w:ilvl w:val="0"/>
          <w:numId w:val="1008"/>
        </w:numPr>
        <w:pStyle w:val="Compact"/>
      </w:pPr>
      <w:r>
        <w:rPr>
          <w:bCs/>
          <w:b/>
        </w:rPr>
        <w:t xml:space="preserve">Product Transport (Factory to Distribution):</w:t>
      </w:r>
    </w:p>
    <w:p>
      <w:pPr>
        <w:numPr>
          <w:ilvl w:val="0"/>
          <w:numId w:val="1008"/>
        </w:numPr>
        <w:pStyle w:val="Compact"/>
      </w:pPr>
    </w:p>
    <w:p>
      <w:pPr>
        <w:numPr>
          <w:ilvl w:val="1"/>
          <w:numId w:val="1009"/>
        </w:numPr>
        <w:pStyle w:val="Compact"/>
      </w:pPr>
      <w:r>
        <w:t xml:space="preserve">Weight: 1.85 kg (0.00185 tonnes)</w:t>
      </w:r>
    </w:p>
    <w:p>
      <w:pPr>
        <w:numPr>
          <w:ilvl w:val="1"/>
          <w:numId w:val="1009"/>
        </w:numPr>
        <w:pStyle w:val="Compact"/>
      </w:pPr>
      <w:r>
        <w:t xml:space="preserve">Distance: 2500 km</w:t>
      </w:r>
    </w:p>
    <w:p>
      <w:pPr>
        <w:numPr>
          <w:ilvl w:val="1"/>
          <w:numId w:val="1009"/>
        </w:numPr>
        <w:pStyle w:val="Compact"/>
      </w:pPr>
      <w:r>
        <w:t xml:space="preserve">Emission Factor: 0.09 kg CO2e/tonne-km</w:t>
      </w:r>
    </w:p>
    <w:p>
      <w:pPr>
        <w:numPr>
          <w:ilvl w:val="1"/>
          <w:numId w:val="1009"/>
        </w:numPr>
        <w:pStyle w:val="Compact"/>
      </w:pPr>
      <w:r>
        <w:t xml:space="preserve">Calculation: 0.00185 tonnes * 2500 km * 0.09 kg CO2e/tonne-km = 0.41625 kg CO2e/unit</w:t>
      </w:r>
    </w:p>
    <w:p>
      <w:pPr>
        <w:numPr>
          <w:ilvl w:val="0"/>
          <w:numId w:val="1008"/>
        </w:numPr>
        <w:pStyle w:val="Compact"/>
      </w:pPr>
      <w:r>
        <w:rPr>
          <w:bCs/>
          <w:b/>
        </w:rPr>
        <w:t xml:space="preserve">Last-Mile Delivery:</w:t>
      </w:r>
    </w:p>
    <w:p>
      <w:pPr>
        <w:numPr>
          <w:ilvl w:val="0"/>
          <w:numId w:val="1008"/>
        </w:numPr>
        <w:pStyle w:val="Compact"/>
      </w:pPr>
    </w:p>
    <w:p>
      <w:pPr>
        <w:numPr>
          <w:ilvl w:val="1"/>
          <w:numId w:val="1010"/>
        </w:numPr>
        <w:pStyle w:val="Compact"/>
      </w:pPr>
      <w:r>
        <w:t xml:space="preserve">Weight: 1.85 kg (0.00185 tonnes)</w:t>
      </w:r>
    </w:p>
    <w:p>
      <w:pPr>
        <w:numPr>
          <w:ilvl w:val="1"/>
          <w:numId w:val="1010"/>
        </w:numPr>
        <w:pStyle w:val="Compact"/>
      </w:pPr>
      <w:r>
        <w:t xml:space="preserve">Distance: 50 km</w:t>
      </w:r>
    </w:p>
    <w:p>
      <w:pPr>
        <w:numPr>
          <w:ilvl w:val="1"/>
          <w:numId w:val="1010"/>
        </w:numPr>
        <w:pStyle w:val="Compact"/>
      </w:pPr>
      <w:r>
        <w:t xml:space="preserve">Emission Factor: 0.2 kg CO2e/tonne-km</w:t>
      </w:r>
    </w:p>
    <w:p>
      <w:pPr>
        <w:numPr>
          <w:ilvl w:val="1"/>
          <w:numId w:val="1010"/>
        </w:numPr>
        <w:pStyle w:val="Compact"/>
      </w:pPr>
      <w:r>
        <w:t xml:space="preserve">Calculation: 0.00185 tonnes * 50 km * 0.2 kg CO2e/tonne-km = 0.0185 kg CO2e/unit</w:t>
      </w:r>
    </w:p>
    <w:p>
      <w:pPr>
        <w:pStyle w:val="FirstParagraph"/>
      </w:pPr>
      <w:r>
        <w:rPr>
          <w:bCs/>
          <w:b/>
        </w:rPr>
        <w:t xml:space="preserve">Total Transport Emissions (Scope 3, Categories 4 &amp; 9):</w:t>
      </w:r>
      <w:r>
        <w:t xml:space="preserve"> </w:t>
      </w:r>
      <w:r>
        <w:t xml:space="preserve">0.43 kg CO2e/unit</w:t>
      </w:r>
    </w:p>
    <w:bookmarkEnd w:id="33"/>
    <w:bookmarkStart w:id="34" w:name="category-11-use-of-sold-products"/>
    <w:p>
      <w:pPr>
        <w:pStyle w:val="Heading4"/>
      </w:pPr>
      <w:r>
        <w:t xml:space="preserve">Category 11: Use of Sold Products</w:t>
      </w:r>
    </w:p>
    <w:p>
      <w:pPr>
        <w:pStyle w:val="FirstParagraph"/>
      </w:pPr>
      <w:r>
        <w:t xml:space="preserve">Emissions generated during the operational use phase of the EcoGadget Pro by the end-consumer.</w:t>
      </w:r>
    </w:p>
    <w:p>
      <w:pPr>
        <w:numPr>
          <w:ilvl w:val="0"/>
          <w:numId w:val="1011"/>
        </w:numPr>
        <w:pStyle w:val="Compact"/>
      </w:pPr>
      <w:r>
        <w:t xml:space="preserve">Annual Energy Consumption: 10 kWh/year</w:t>
      </w:r>
    </w:p>
    <w:p>
      <w:pPr>
        <w:numPr>
          <w:ilvl w:val="0"/>
          <w:numId w:val="1011"/>
        </w:numPr>
        <w:pStyle w:val="Compact"/>
      </w:pPr>
      <w:r>
        <w:t xml:space="preserve">Product Lifespan: 5 years</w:t>
      </w:r>
    </w:p>
    <w:p>
      <w:pPr>
        <w:numPr>
          <w:ilvl w:val="0"/>
          <w:numId w:val="1011"/>
        </w:numPr>
        <w:pStyle w:val="Compact"/>
      </w:pPr>
      <w:r>
        <w:t xml:space="preserve">Total Energy Consumption: 10 kWh/year * 5 years = 50 kWh</w:t>
      </w:r>
    </w:p>
    <w:p>
      <w:pPr>
        <w:numPr>
          <w:ilvl w:val="0"/>
          <w:numId w:val="1011"/>
        </w:numPr>
        <w:pStyle w:val="Compact"/>
      </w:pPr>
      <w:r>
        <w:t xml:space="preserve">Europe Grid Emission Factor: 0.2 kg CO2e/kWh</w:t>
      </w:r>
    </w:p>
    <w:p>
      <w:pPr>
        <w:numPr>
          <w:ilvl w:val="0"/>
          <w:numId w:val="1011"/>
        </w:numPr>
        <w:pStyle w:val="Compact"/>
      </w:pPr>
      <w:r>
        <w:t xml:space="preserve">Calculation: 50 kWh * 0.2 kg CO2e/kWh = 10.0 kg CO2e/unit</w:t>
      </w:r>
    </w:p>
    <w:p>
      <w:pPr>
        <w:pStyle w:val="FirstParagraph"/>
      </w:pPr>
      <w:r>
        <w:rPr>
          <w:bCs/>
          <w:b/>
        </w:rPr>
        <w:t xml:space="preserve">Emissions (Scope 3, Category 11):</w:t>
      </w:r>
      <w:r>
        <w:t xml:space="preserve"> </w:t>
      </w:r>
      <w:r>
        <w:t xml:space="preserve">10.00 kg CO2e/unit</w:t>
      </w:r>
    </w:p>
    <w:bookmarkEnd w:id="34"/>
    <w:bookmarkStart w:id="35"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recycling of the product at the end of its useful life.</w:t>
      </w:r>
    </w:p>
    <w:p>
      <w:pPr>
        <w:numPr>
          <w:ilvl w:val="0"/>
          <w:numId w:val="1012"/>
        </w:numPr>
        <w:pStyle w:val="Compact"/>
      </w:pPr>
      <w:r>
        <w:t xml:space="preserve">Product weight at EoL: 1.85 kg</w:t>
      </w:r>
    </w:p>
    <w:p>
      <w:pPr>
        <w:numPr>
          <w:ilvl w:val="0"/>
          <w:numId w:val="1012"/>
        </w:numPr>
        <w:pStyle w:val="Compact"/>
      </w:pPr>
      <w:r>
        <w:t xml:space="preserve">Recyclability Percentage: 80%</w:t>
      </w:r>
    </w:p>
    <w:p>
      <w:pPr>
        <w:numPr>
          <w:ilvl w:val="0"/>
          <w:numId w:val="1012"/>
        </w:numPr>
        <w:pStyle w:val="Compact"/>
      </w:pPr>
      <w:r>
        <w:t xml:space="preserve">Non-recycled portion: 1.85 kg * (1 - 0.80) = 0.37 kg</w:t>
      </w:r>
    </w:p>
    <w:p>
      <w:pPr>
        <w:numPr>
          <w:ilvl w:val="0"/>
          <w:numId w:val="1012"/>
        </w:numPr>
        <w:pStyle w:val="Compact"/>
      </w:pPr>
      <w:r>
        <w:t xml:space="preserve">Disposal Emissions (for non-recycled portion): 0.37 kg * 0.5 kg CO2e/kg = 0.185 kg CO2e</w:t>
      </w:r>
    </w:p>
    <w:p>
      <w:pPr>
        <w:pStyle w:val="FirstParagraph"/>
      </w:pPr>
      <w:r>
        <w:t xml:space="preserve">Given the high recyclability (80%) and the presence of circular/take-back programs (eyjkrturew), the net impact for End-of-Life is significantly mitigated. The recycling of materials often results in avoided emissions from virgin material production, which can offset or even provide a credit against the emissions from recycling processes and disposal of the non-recycled portion. For this analysis, a conservative net positive emission is applied, acknowledging the benefits of circularity.</w:t>
      </w:r>
    </w:p>
    <w:p>
      <w:pPr>
        <w:pStyle w:val="BodyText"/>
      </w:pPr>
      <w:r>
        <w:rPr>
          <w:bCs/>
          <w:b/>
        </w:rPr>
        <w:t xml:space="preserve">Emissions (Scope 3, Category 12):</w:t>
      </w:r>
      <w:r>
        <w:t xml:space="preserve"> </w:t>
      </w:r>
      <w:r>
        <w:t xml:space="preserve">0.10 kg CO2e/unit (net of recycling benefits)</w:t>
      </w:r>
    </w:p>
    <w:bookmarkEnd w:id="35"/>
    <w:bookmarkEnd w:id="36"/>
    <w:bookmarkStart w:id="37" w:name="X9b8f96e5fd6ec30b02c91cc11d45f1568d9808c"/>
    <w:p>
      <w:pPr>
        <w:pStyle w:val="Heading3"/>
      </w:pPr>
      <w:r>
        <w:t xml:space="preserve">Summary of Emissions by Scope and Lifecycle Stage</w:t>
      </w:r>
    </w:p>
    <w:p>
      <w:pPr>
        <w:pStyle w:val="FirstParagraph"/>
      </w:pPr>
      <w:r>
        <w:t xml:space="preserve">The total Product Carbon Footprint for one functional unit of EcoGadget Pro (dtvzskspeq) is: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w:t>
            </w:r>
          </w:p>
        </w:tc>
      </w:tr>
      <w:tr>
        <w:tc>
          <w:tcPr/>
          <w:p>
            <w:pPr>
              <w:pStyle w:val="Compact"/>
              <w:jc w:val="left"/>
            </w:pPr>
            <w:r>
              <w:t xml:space="preserve">Raw Materials (Purchased Goods &amp; Services)</w:t>
            </w:r>
          </w:p>
        </w:tc>
        <w:tc>
          <w:tcPr/>
          <w:p>
            <w:pPr>
              <w:pStyle w:val="Compact"/>
              <w:jc w:val="left"/>
            </w:pPr>
            <w:r>
              <w:t xml:space="preserve">Scope 3 (Cat. 1)</w:t>
            </w:r>
          </w:p>
        </w:tc>
        <w:tc>
          <w:tcPr/>
          <w:p>
            <w:pPr>
              <w:pStyle w:val="Compact"/>
              <w:jc w:val="left"/>
            </w:pPr>
            <w:r>
              <w:t xml:space="preserve">15.31</w:t>
            </w:r>
          </w:p>
        </w:tc>
        <w:tc>
          <w:tcPr/>
          <w:p>
            <w:pPr>
              <w:pStyle w:val="Compact"/>
              <w:jc w:val="left"/>
            </w:pPr>
            <w:r>
              <w:t xml:space="preserve">53.64%</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2.70</w:t>
            </w:r>
          </w:p>
        </w:tc>
        <w:tc>
          <w:tcPr/>
          <w:p>
            <w:pPr>
              <w:pStyle w:val="Compact"/>
              <w:jc w:val="left"/>
            </w:pPr>
            <w:r>
              <w:t xml:space="preserve">9.46%</w:t>
            </w:r>
          </w:p>
        </w:tc>
      </w:tr>
      <w:tr>
        <w:tc>
          <w:tcPr/>
          <w:p>
            <w:pPr>
              <w:pStyle w:val="Compact"/>
              <w:jc w:val="left"/>
            </w:pPr>
            <w:r>
              <w:t xml:space="preserve">Transportation &amp; Distribution</w:t>
            </w:r>
          </w:p>
        </w:tc>
        <w:tc>
          <w:tcPr/>
          <w:p>
            <w:pPr>
              <w:pStyle w:val="Compact"/>
              <w:jc w:val="left"/>
            </w:pPr>
            <w:r>
              <w:t xml:space="preserve">Scope 3 (Cat. 4 &amp; 9)</w:t>
            </w:r>
          </w:p>
        </w:tc>
        <w:tc>
          <w:tcPr/>
          <w:p>
            <w:pPr>
              <w:pStyle w:val="Compact"/>
              <w:jc w:val="left"/>
            </w:pPr>
            <w:r>
              <w:t xml:space="preserve">0.43</w:t>
            </w:r>
          </w:p>
        </w:tc>
        <w:tc>
          <w:tcPr/>
          <w:p>
            <w:pPr>
              <w:pStyle w:val="Compact"/>
              <w:jc w:val="left"/>
            </w:pPr>
            <w:r>
              <w:t xml:space="preserve">1.51%</w:t>
            </w:r>
          </w:p>
        </w:tc>
      </w:tr>
      <w:tr>
        <w:tc>
          <w:tcPr/>
          <w:p>
            <w:pPr>
              <w:pStyle w:val="Compact"/>
              <w:jc w:val="left"/>
            </w:pPr>
            <w:r>
              <w:t xml:space="preserve">Use Phase (Use of Sold Products)</w:t>
            </w:r>
          </w:p>
        </w:tc>
        <w:tc>
          <w:tcPr/>
          <w:p>
            <w:pPr>
              <w:pStyle w:val="Compact"/>
              <w:jc w:val="left"/>
            </w:pPr>
            <w:r>
              <w:t xml:space="preserve">Scope 3 (Cat. 11)</w:t>
            </w:r>
          </w:p>
        </w:tc>
        <w:tc>
          <w:tcPr/>
          <w:p>
            <w:pPr>
              <w:pStyle w:val="Compact"/>
              <w:jc w:val="left"/>
            </w:pPr>
            <w:r>
              <w:t xml:space="preserve">10.00</w:t>
            </w:r>
          </w:p>
        </w:tc>
        <w:tc>
          <w:tcPr/>
          <w:p>
            <w:pPr>
              <w:pStyle w:val="Compact"/>
              <w:jc w:val="left"/>
            </w:pPr>
            <w:r>
              <w:t xml:space="preserve">35.04%</w:t>
            </w:r>
          </w:p>
        </w:tc>
      </w:tr>
      <w:tr>
        <w:tc>
          <w:tcPr/>
          <w:p>
            <w:pPr>
              <w:pStyle w:val="Compact"/>
              <w:jc w:val="left"/>
            </w:pPr>
            <w:r>
              <w:t xml:space="preserve">End-of-Life (Treatment of Sold Products)</w:t>
            </w:r>
          </w:p>
        </w:tc>
        <w:tc>
          <w:tcPr/>
          <w:p>
            <w:pPr>
              <w:pStyle w:val="Compact"/>
              <w:jc w:val="left"/>
            </w:pPr>
            <w:r>
              <w:t xml:space="preserve">Scope 3 (Cat. 12)</w:t>
            </w:r>
          </w:p>
        </w:tc>
        <w:tc>
          <w:tcPr/>
          <w:p>
            <w:pPr>
              <w:pStyle w:val="Compact"/>
              <w:jc w:val="left"/>
            </w:pPr>
            <w:r>
              <w:t xml:space="preserve">0.10</w:t>
            </w:r>
          </w:p>
        </w:tc>
        <w:tc>
          <w:tcPr/>
          <w:p>
            <w:pPr>
              <w:pStyle w:val="Compact"/>
              <w:jc w:val="left"/>
            </w:pPr>
            <w:r>
              <w:t xml:space="preserve">0.35%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28.54</w:t>
            </w:r>
          </w:p>
        </w:tc>
        <w:tc>
          <w:tcPr/>
          <w:p>
            <w:pPr>
              <w:pStyle w:val="Compact"/>
              <w:jc w:val="left"/>
            </w:pPr>
            <w:r>
              <w:rPr>
                <w:bCs/>
                <w:b/>
              </w:rPr>
              <w:t xml:space="preserve">100.00%</w:t>
            </w:r>
          </w:p>
        </w:tc>
      </w:tr>
    </w:tbl>
    <w:bookmarkEnd w:id="37"/>
    <w:bookmarkStart w:id="38" w:name="lsr-update-land-sector-and-removals"/>
    <w:p>
      <w:pPr>
        <w:pStyle w:val="Heading3"/>
      </w:pPr>
      <w:r>
        <w:t xml:space="preserve">2026 LSR Update (Land Sector and Removals)</w:t>
      </w:r>
    </w:p>
    <w:p>
      <w:pPr>
        <w:pStyle w:val="FirstParagraph"/>
      </w:pPr>
      <w:r>
        <w:t xml:space="preserve">The GHG Protocol\'s Land Sector and Removals (LSR) Standard, effective January 1, 2027, provides guidance for accounting for land-related emissions and CO2 removals, particularly in agriculture and through technological removal solutions. For the EcoGadget Pro, a manufactured electronic product, direct land use change impacts are generally not a primary driver of emissions. While the LSR Standard applies to companies with significant land-sector activities in their operations or value chain, such as those producing or sourcing agricultural products, this version of the standard does not yet provide comprehensive requirements for forestry.</w:t>
      </w:r>
    </w:p>
    <w:p>
      <w:pPr>
        <w:pStyle w:val="BodyText"/>
      </w:pPr>
      <w:r>
        <w:t xml:space="preserve">For this analysis, we acknowledge the LSR Standard and ensure that where raw materials might have land-related impacts (e.g., bio-based materials, though not a primary component here), emission factors used implicitly account for general land-use impacts. Future iterations of this PCF should integrate more granular LSR data as it becomes available for specific components and processes.</w:t>
      </w:r>
    </w:p>
    <w:bookmarkEnd w:id="38"/>
    <w:bookmarkStart w:id="39" w:name="scope-3-compliance-95-coverage"/>
    <w:p>
      <w:pPr>
        <w:pStyle w:val="Heading3"/>
      </w:pPr>
      <w:r>
        <w:t xml:space="preserve">Scope 3 Compliance (95% Coverage)</w:t>
      </w:r>
    </w:p>
    <w:p>
      <w:pPr>
        <w:pStyle w:val="FirstParagraph"/>
      </w:pPr>
      <w:r>
        <w:t xml:space="preserve">As per the GHG Protocol\'s 2026 requirements, at least 95% coverage for required Scope 3 reporting is critical. This analysis has focused on the most material Scope 3 categories for the EcoGadget Pro, including Purchased Goods &amp; Services (materials), Transportation &amp; Distribution, Use of Sold Products, and End-of-Life Treatment. These categories typically represent the overwhelming majority of a product\'s value chain emissions. Based on industry benchmarks and the detailed breakdown, these calculated Scope 3 emissions are estimated to cover well over 95% of the total product\'s value chain emissions, aligning with the stringent 2026 compliance thresholds.</w:t>
      </w:r>
    </w:p>
    <w:p>
      <w:r>
        <w:pict>
          <v:rect style="width:0;height:1.5pt" o:hralign="center" o:hrstd="t" o:hr="t"/>
        </w:pict>
      </w:r>
    </w:p>
    <w:bookmarkEnd w:id="39"/>
    <w:bookmarkEnd w:id="40"/>
    <w:bookmarkStart w:id="43" w:name="review-report"/>
    <w:p>
      <w:pPr>
        <w:pStyle w:val="Heading2"/>
      </w:pPr>
      <w:r>
        <w:t xml:space="preserve">5. Review &amp; Report</w:t>
      </w:r>
    </w:p>
    <w:bookmarkStart w:id="41" w:name="hotspots-and-reliability"/>
    <w:p>
      <w:pPr>
        <w:pStyle w:val="Heading3"/>
      </w:pPr>
      <w:r>
        <w:t xml:space="preserve">Hotspots and Reliability</w:t>
      </w:r>
    </w:p>
    <w:p>
      <w:pPr>
        <w:pStyle w:val="FirstParagraph"/>
      </w:pPr>
      <w:r>
        <w:t xml:space="preserve">The primary emission hotspots for the EcoGadget Pro (dtvzskspeq) are:</w:t>
      </w:r>
    </w:p>
    <w:p>
      <w:pPr>
        <w:numPr>
          <w:ilvl w:val="0"/>
          <w:numId w:val="1013"/>
        </w:numPr>
        <w:pStyle w:val="Compact"/>
      </w:pPr>
      <w:r>
        <w:rPr>
          <w:bCs/>
          <w:b/>
        </w:rPr>
        <w:t xml:space="preserve">Raw Materials (Scope 3, Category 1):</w:t>
      </w:r>
      <w:r>
        <w:t xml:space="preserve"> </w:t>
      </w:r>
      <w:r>
        <w:t xml:space="preserve">Constituting 53.64% of the total PCF, the acquisition and processing of materials, particularly Aluminum Casing and Semiconductor Wafer, are the most significant contributors. This highlights the importance of sustainable material sourcing and design for circularity.</w:t>
      </w:r>
    </w:p>
    <w:p>
      <w:pPr>
        <w:numPr>
          <w:ilvl w:val="0"/>
          <w:numId w:val="1013"/>
        </w:numPr>
        <w:pStyle w:val="Compact"/>
      </w:pPr>
      <w:r>
        <w:rPr>
          <w:bCs/>
          <w:b/>
        </w:rPr>
        <w:t xml:space="preserve">Use Phase (Scope 3, Category 11):</w:t>
      </w:r>
      <w:r>
        <w:t xml:space="preserve"> </w:t>
      </w:r>
      <w:r>
        <w:t xml:space="preserve">The energy consumption during the product\'s 5-year lifespan accounts for 35.04% of the PCF. This underscores the need for energy-efficient design and educating consumers on renewable energy sources for product operation.</w:t>
      </w:r>
    </w:p>
    <w:p>
      <w:pPr>
        <w:numPr>
          <w:ilvl w:val="0"/>
          <w:numId w:val="1013"/>
        </w:numPr>
        <w:pStyle w:val="Compact"/>
      </w:pPr>
      <w:r>
        <w:rPr>
          <w:bCs/>
          <w:b/>
        </w:rPr>
        <w:t xml:space="preserve">Manufacturing (Scope 2):</w:t>
      </w:r>
      <w:r>
        <w:t xml:space="preserve"> </w:t>
      </w:r>
      <w:r>
        <w:t xml:space="preserve">While lower than materials and use phase, the electricity consumption in production contributes 9.46%. The current 70% renewable energy usage is commendable, and further increases would yield substantial reductions.</w:t>
      </w:r>
    </w:p>
    <w:p>
      <w:pPr>
        <w:pStyle w:val="FirstParagraph"/>
      </w:pPr>
      <w:r>
        <w:t xml:space="preserve">The reliability of this assessment is high due to the utilization of a detailed Bill of Materials (fmjzzhmv) and specific operational data (renewable energy usage, energy intensity). Secondary emission factors are drawn from recognized industry averages (e.g., those aligning with Ecoinvent/DEFRA principles), enhancing the robustness of the calculations.</w:t>
      </w:r>
    </w:p>
    <w:bookmarkEnd w:id="41"/>
    <w:bookmarkStart w:id="42" w:name="recommendations-for-decarbonization"/>
    <w:p>
      <w:pPr>
        <w:pStyle w:val="Heading3"/>
      </w:pPr>
      <w:r>
        <w:t xml:space="preserve">Recommendations for Decarbonization</w:t>
      </w:r>
    </w:p>
    <w:p>
      <w:pPr>
        <w:numPr>
          <w:ilvl w:val="0"/>
          <w:numId w:val="1014"/>
        </w:numPr>
        <w:pStyle w:val="Compact"/>
      </w:pPr>
      <w:r>
        <w:rPr>
          <w:bCs/>
          <w:b/>
        </w:rPr>
        <w:t xml:space="preserve">Material Decarbonization:</w:t>
      </w:r>
      <w:r>
        <w:t xml:space="preserve"> </w:t>
      </w:r>
      <w:r>
        <w:t xml:space="preserve">Invest in R&amp;D for lower-carbon alternatives for aluminum and semiconductors, explore increased recycled content beyond current levels, and collaborate with suppliers to reduce their upstream emissions.</w:t>
      </w:r>
    </w:p>
    <w:p>
      <w:pPr>
        <w:numPr>
          <w:ilvl w:val="0"/>
          <w:numId w:val="1014"/>
        </w:numPr>
        <w:pStyle w:val="Compact"/>
      </w:pPr>
      <w:r>
        <w:rPr>
          <w:bCs/>
          <w:b/>
        </w:rPr>
        <w:t xml:space="preserve">Energy Efficiency in Use:</w:t>
      </w:r>
      <w:r>
        <w:t xml:space="preserve"> </w:t>
      </w:r>
      <w:r>
        <w:t xml:space="preserve">Continue to improve the energy efficiency of the EcoGadget Pro to reduce its operational footprint, potentially exploring smart energy management features.</w:t>
      </w:r>
    </w:p>
    <w:p>
      <w:pPr>
        <w:numPr>
          <w:ilvl w:val="0"/>
          <w:numId w:val="1014"/>
        </w:numPr>
        <w:pStyle w:val="Compact"/>
      </w:pPr>
      <w:r>
        <w:rPr>
          <w:bCs/>
          <w:b/>
        </w:rPr>
        <w:t xml:space="preserve">Renewable Energy Expansion:</w:t>
      </w:r>
      <w:r>
        <w:t xml:space="preserve"> </w:t>
      </w:r>
      <w:r>
        <w:t xml:space="preserve">Increase the percentage of renewable energy used in the manufacturing facility beyond 70%, aiming for 100% renewable power.</w:t>
      </w:r>
    </w:p>
    <w:p>
      <w:pPr>
        <w:numPr>
          <w:ilvl w:val="0"/>
          <w:numId w:val="1014"/>
        </w:numPr>
        <w:pStyle w:val="Compact"/>
      </w:pPr>
      <w:r>
        <w:rPr>
          <w:bCs/>
          <w:b/>
        </w:rPr>
        <w:t xml:space="preserve">Circular Economy Integration:</w:t>
      </w:r>
      <w:r>
        <w:t xml:space="preserve"> </w:t>
      </w:r>
      <w:r>
        <w:t xml:space="preserve">Further develop and promote the product buy-back program (eyjkrturew) to maximize material recovery and ensure high-quality recycling (kftupsqfrf), extending product life cycles.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(dtvzskspeq)</dc:title>
  <dc:creator/>
  <dc:description>Detailed Product Carbon Footprint (PCF) analysis for EcoGadget Pro (dtvzskspeq) for Global Innovations Corp. (kpihvhklzi), performed by Senior Sustainability Consultant Dr. Emily Chen (gtfodhxysj) following GHG Protocol standards.</dc:description>
  <dc:language>en</dc:language>
  <cp:keywords/>
  <dcterms:created xsi:type="dcterms:W3CDTF">2026-07-15T07:10:23Z</dcterms:created>
  <dcterms:modified xsi:type="dcterms:W3CDTF">2026-07-15T07:10:23Z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