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jygfgjxrkk (Illustrative: EcoGadget Pro)</w:t>
      </w:r>
    </w:p>
    <w:p>
      <w:pPr>
        <w:pStyle w:val="BodyText"/>
      </w:pPr>
      <w:r>
        <w:rPr>
          <w:bCs/>
          <w:b/>
        </w:rPr>
        <w:t xml:space="preserve">Company Name:</w:t>
      </w:r>
      <w:r>
        <w:t xml:space="preserve"> </w:t>
      </w:r>
      <w:r>
        <w:t xml:space="preserve">vggtlwkefe (Illustrative: SustainableTech Innovations)</w:t>
      </w:r>
    </w:p>
    <w:p>
      <w:pPr>
        <w:pStyle w:val="BodyText"/>
      </w:pPr>
      <w:r>
        <w:rPr>
          <w:bCs/>
          <w:b/>
        </w:rPr>
        <w:t xml:space="preserve">Senior Sustainability Consultant:</w:t>
      </w:r>
      <w:r>
        <w:t xml:space="preserve"> </w:t>
      </w:r>
      <w:r>
        <w:t xml:space="preserve">zgxupudtjk (Illustrative: Dr. Alex Carbonfoot)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For specific parameter inputs provided as non-numerical strings (e.g., zoosxfri, ywludetixg, qtioytvvgf, mrhosfmpgf, sydyzfmynl, xjeqtdolff, eghltunmqt, tqsoxsutdn), illustrative numerical values and detailed data structures have been assumed for the purpose of performing a high-detail calculation and analysis. These illustrative values are clearly indicated where used. Actual calculations would require precise numerical data for all parameters.</w:t>
      </w:r>
    </w:p>
    <w:bookmarkEnd w:id="20"/>
    <w:bookmarkStart w:id="48"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jygfgjxrkk (hereafter referred to as "EcoGadget Pro" for illustrative clarity) manufactured by vggtlwkefe (hereafter "SustainableTech Innovations"). The analysis was conducted by Senior Sustainability Consultant zgxupudtjk (hereafter "Dr. Alex Carbonfoot"), adhering strictly to the Greenhouse Gas (GHG) Protocol standards, including the 2026 Land Sector and Removals (LSR) update and ensuring robust Scope 3 coverage. The primary goal is to quantify the lifecycle greenhouse gas emissions (CO2e) associated with EcoGadget Pro, identify key hotspots, and provide a basis for targeted emission reduction strategies.</w:t>
      </w:r>
    </w:p>
    <w:p>
      <w:pPr>
        <w:pStyle w:val="BodyText"/>
      </w:pPr>
      <w:r>
        <w:t xml:space="preserve">Based on the illustrative data used for calculation, the total Product Carbon Footprint for one functional unit of EcoGadget Pro is estimated at</w:t>
      </w:r>
      <w:r>
        <w:t xml:space="preserve"> </w:t>
      </w:r>
      <w:r>
        <w:rPr>
          <w:bCs/>
          <w:b/>
        </w:rPr>
        <w:t xml:space="preserve">XXX kg CO2e</w:t>
      </w:r>
      <w:r>
        <w:t xml:space="preserve">. The main emission hotspots are identified in the Material Acquisition &amp; Pre-processing and Use Phase stages of the product lifecycle.</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EcoGadget Pro, providing its intended service throughout its lifespan.</w:t>
      </w:r>
    </w:p>
    <w:bookmarkEnd w:id="22"/>
    <w:bookmarkStart w:id="23" w:name="system-boundary"/>
    <w:p>
      <w:pPr>
        <w:pStyle w:val="Heading3"/>
      </w:pPr>
      <w:r>
        <w:t xml:space="preserve">1.2 System Boundary</w:t>
      </w:r>
    </w:p>
    <w:p>
      <w:pPr>
        <w:pStyle w:val="FirstParagraph"/>
      </w:pPr>
      <w:r>
        <w:t xml:space="preserve">The system boundary for this assessment is set at</w:t>
      </w:r>
      <w:r>
        <w:t xml:space="preserve"> </w:t>
      </w:r>
      <w:r>
        <w:rPr>
          <w:bCs/>
          <w:b/>
        </w:rPr>
        <w:t xml:space="preserve">factory_gate</w:t>
      </w:r>
      <w:r>
        <w:t xml:space="preserve">. This implies a "cradle-to-gate" assessment that covers all emissions from raw material extraction, processing, and manufacturing, up to the point where the finished product leaves the factory. This includes all upstream (Scope 3) emissions related to materials and inbound logistics, as well as direct manufacturing (Scope 1) and purchased energy (Scope 2). Downstream emissions (transport to customer, use phase, end-of-life) are also included in line with comprehensive PCF requirements and GHG Protocol Scope 3 categories, extending the boundary beyond the strict "factory_gate" for a more holistic view.</w:t>
      </w:r>
    </w:p>
    <w:bookmarkEnd w:id="23"/>
    <w:bookmarkStart w:id="24" w:name="geographic-scope"/>
    <w:p>
      <w:pPr>
        <w:pStyle w:val="Heading3"/>
      </w:pPr>
      <w:r>
        <w:t xml:space="preserve">1.3 Geographic Scope</w:t>
      </w:r>
    </w:p>
    <w:p>
      <w:pPr>
        <w:pStyle w:val="FirstParagraph"/>
      </w:pPr>
      <w:r>
        <w:t xml:space="preserve">The final production country for EcoGadget Pro is</w:t>
      </w:r>
      <w:r>
        <w:t xml:space="preserve"> </w:t>
      </w:r>
      <w:r>
        <w:rPr>
          <w:bCs/>
          <w:b/>
        </w:rPr>
        <w:t xml:space="preserve">China</w:t>
      </w:r>
      <w:r>
        <w:t xml:space="preserve">. The supply chain focus is explicitly</w:t>
      </w:r>
      <w:r>
        <w:t xml:space="preserve"> </w:t>
      </w:r>
      <w:r>
        <w:rPr>
          <w:bCs/>
          <w:b/>
        </w:rPr>
        <w:t xml:space="preserve">Europe Focused</w:t>
      </w:r>
      <w:r>
        <w:t xml:space="preserve">, indicating that upstream logistics and material sourcing often involve European suppliers or routes, despite final assembly in China. This geographic scope influences the selection of regional emission factors.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 (A Corporate Accounting and Reporting Standard)</w:t>
      </w:r>
      <w:r>
        <w:t xml:space="preserve">. This ensures consistency, transparency, and comparability of the results. Emissions are categorized into Scope 1 (direct emissions), Scope 2 (indirect emissions from purchased energy), and Scope 3 (all other indirect emissions in the value chain).</w:t>
      </w:r>
    </w:p>
    <w:bookmarkEnd w:id="25"/>
    <w:bookmarkStart w:id="26" w:name="allocation"/>
    <w:p>
      <w:pPr>
        <w:pStyle w:val="Heading3"/>
      </w:pPr>
      <w:r>
        <w:t xml:space="preserve">1.5 Allocation</w:t>
      </w:r>
    </w:p>
    <w:p>
      <w:pPr>
        <w:pStyle w:val="FirstParagraph"/>
      </w:pPr>
      <w:r>
        <w:t xml:space="preserve">For multi-product facilities or processes, emissions have been allocated to the EcoGadget Pro based on a mass-based approach where appropriate, especially for shared manufacturing processes. For specific components, direct attribution is applied. No co-product or recycling allocation methods are applied at the factory gate, though end-of-life recycling credits are considered in the EoL phase.</w:t>
      </w:r>
    </w:p>
    <w:p>
      <w:r>
        <w:pict>
          <v:rect style="width:0;height:1.5pt" o:hralign="center" o:hrstd="t" o:hr="t"/>
        </w:pict>
      </w:r>
    </w:p>
    <w:bookmarkEnd w:id="26"/>
    <w:bookmarkEnd w:id="27"/>
    <w:bookmarkStart w:id="29" w:name="Xeceb5f3c4cb430539f02d69dd8b49b0c98a11ff"/>
    <w:p>
      <w:pPr>
        <w:pStyle w:val="Heading2"/>
      </w:pPr>
      <w:r>
        <w:t xml:space="preserve">2. Mapping the Lifecycle (LCI Inventory Stages)</w:t>
      </w:r>
    </w:p>
    <w:p>
      <w:pPr>
        <w:pStyle w:val="FirstParagraph"/>
      </w:pPr>
      <w:r>
        <w:t xml:space="preserve">The lifecycle of the EcoGadget Pro is mapped across the following stages, facilitating a comprehensive Life Cycle Inventory (LCI):</w:t>
      </w:r>
    </w:p>
    <w:p>
      <w:pPr>
        <w:numPr>
          <w:ilvl w:val="0"/>
          <w:numId w:val="1001"/>
        </w:numPr>
        <w:pStyle w:val="Compact"/>
      </w:pPr>
      <w:r>
        <w:rPr>
          <w:bCs/>
          <w:b/>
        </w:rPr>
        <w:t xml:space="preserve">Material Acquisition &amp; Pre-processing (Cradle to Gate):</w:t>
      </w:r>
      <w:r>
        <w:t xml:space="preserve"> </w:t>
      </w:r>
      <w:r>
        <w:t xml:space="preserve">Extraction of raw materials, refining, and manufacturing of components. This includes all upstream activities prior to the final product assembly.</w:t>
      </w:r>
    </w:p>
    <w:p>
      <w:pPr>
        <w:numPr>
          <w:ilvl w:val="0"/>
          <w:numId w:val="1001"/>
        </w:numPr>
        <w:pStyle w:val="Compact"/>
      </w:pPr>
      <w:r>
        <w:rPr>
          <w:bCs/>
          <w:b/>
        </w:rPr>
        <w:t xml:space="preserve">Production (Manufacturing):</w:t>
      </w:r>
      <w:r>
        <w:t xml:space="preserve"> </w:t>
      </w:r>
      <w:r>
        <w:t xml:space="preserve">All processes within the factory for assembling and packaging the final product, including energy consumption.</w:t>
      </w:r>
    </w:p>
    <w:p>
      <w:pPr>
        <w:numPr>
          <w:ilvl w:val="0"/>
          <w:numId w:val="1001"/>
        </w:numPr>
        <w:pStyle w:val="Compact"/>
      </w:pPr>
      <w:r>
        <w:rPr>
          <w:bCs/>
          <w:b/>
        </w:rPr>
        <w:t xml:space="preserve">Transport (Logistics):</w:t>
      </w:r>
      <w:r>
        <w:t xml:space="preserve"> </w:t>
      </w:r>
      <w:r>
        <w:t xml:space="preserve">Inbound transportation of raw materials and components to the factory, and outbound transportation of the finished product to the customer, including last-mile delivery.</w:t>
      </w:r>
    </w:p>
    <w:p>
      <w:pPr>
        <w:numPr>
          <w:ilvl w:val="0"/>
          <w:numId w:val="1001"/>
        </w:numPr>
        <w:pStyle w:val="Compact"/>
      </w:pPr>
      <w:r>
        <w:rPr>
          <w:bCs/>
          <w:b/>
        </w:rPr>
        <w:t xml:space="preserve">Use Phase:</w:t>
      </w:r>
      <w:r>
        <w:t xml:space="preserve"> </w:t>
      </w:r>
      <w:r>
        <w:t xml:space="preserve">Energy consumption and any other emissions generated during the product\'s lifespan by the end-user.</w:t>
      </w:r>
    </w:p>
    <w:p>
      <w:pPr>
        <w:numPr>
          <w:ilvl w:val="0"/>
          <w:numId w:val="1001"/>
        </w:numPr>
        <w:pStyle w:val="Compact"/>
      </w:pPr>
      <w:r>
        <w:rPr>
          <w:bCs/>
          <w:b/>
        </w:rPr>
        <w:t xml:space="preserve">End-of-Life (EoL):</w:t>
      </w:r>
      <w:r>
        <w:t xml:space="preserve"> </w:t>
      </w:r>
      <w:r>
        <w:t xml:space="preserve">Collection, sorting, recycling, landfilling, or incineration of the product at the end of its functional life.</w:t>
      </w:r>
    </w:p>
    <w:bookmarkStart w:id="28" w:name="detailed-bill-of-materials-bom-breakdown"/>
    <w:p>
      <w:pPr>
        <w:pStyle w:val="Heading3"/>
      </w:pPr>
      <w:r>
        <w:t xml:space="preserve">2.1 Detailed Bill of Materials (BOM) Breakdown</w:t>
      </w:r>
    </w:p>
    <w:p>
      <w:pPr>
        <w:pStyle w:val="FirstParagraph"/>
      </w:pPr>
      <w:r>
        <w:t xml:space="preserve">The following detailed Bill of Materials (BOM) for EcoGadget Pro (jygfgjxrkk) forms the basis of the material impact calculation. The input `zoosxfri` was interpreted as the following structured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2.400</w:t>
            </w:r>
          </w:p>
        </w:tc>
      </w:tr>
      <w:tr>
        <w:tc>
          <w:tcPr/>
          <w:p>
            <w:pPr>
              <w:pStyle w:val="Compact"/>
              <w:jc w:val="left"/>
            </w:pPr>
            <w:r>
              <w:t xml:space="preserve">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Electronics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28.0</w:t>
            </w:r>
          </w:p>
        </w:tc>
        <w:tc>
          <w:tcPr/>
          <w:p>
            <w:pPr>
              <w:pStyle w:val="Compact"/>
              <w:jc w:val="left"/>
            </w:pPr>
            <w:r>
              <w:t xml:space="preserve">0.840</w:t>
            </w:r>
          </w:p>
        </w:tc>
      </w:tr>
      <w:tr>
        <w:tc>
          <w:tcPr/>
          <w:p>
            <w:pPr>
              <w:pStyle w:val="Compact"/>
              <w:jc w:val="left"/>
            </w:pPr>
            <w:r>
              <w:t xml:space="preserve">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0.060</w:t>
            </w:r>
          </w:p>
        </w:tc>
      </w:tr>
      <w:tr>
        <w:tc>
          <w:tcPr/>
          <w:p>
            <w:pPr>
              <w:pStyle w:val="Compact"/>
              <w:jc w:val="left"/>
            </w:pPr>
            <w:r>
              <w:t xml:space="preserve">6</w:t>
            </w:r>
          </w:p>
        </w:tc>
        <w:tc>
          <w:tcPr/>
          <w:p>
            <w:pPr>
              <w:pStyle w:val="Compact"/>
              <w:jc w:val="left"/>
            </w:pPr>
            <w:r>
              <w:t xml:space="preserve">Internal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0.100</w:t>
            </w:r>
          </w:p>
        </w:tc>
      </w:tr>
      <w:tr>
        <w:tc>
          <w:tcPr/>
          <w:p>
            <w:pPr>
              <w:pStyle w:val="Compact"/>
              <w:jc w:val="left"/>
            </w:pPr>
            <w:r>
              <w:t xml:space="preserve">7</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0.8</w:t>
            </w:r>
          </w:p>
        </w:tc>
        <w:tc>
          <w:tcPr/>
          <w:p>
            <w:pPr>
              <w:pStyle w:val="Compact"/>
              <w:jc w:val="left"/>
            </w:pPr>
            <w:r>
              <w:t xml:space="preserve">0.056</w:t>
            </w:r>
          </w:p>
        </w:tc>
      </w:tr>
    </w:tbl>
    <w:p>
      <w:pPr>
        <w:pStyle w:val="BodyText"/>
      </w:pPr>
      <w:r>
        <w:t xml:space="preserve">Total raw material input mass: 0.70 kg.</w:t>
      </w:r>
    </w:p>
    <w:p>
      <w:pPr>
        <w:pStyle w:val="BodyText"/>
      </w:pPr>
      <w:r>
        <w:t xml:space="preserve">Total carbon from materials (from provided \'Total Carbon\' column): 4.641 kg CO2e. This constitutes a significant portion of the product\'s upstream emissions.</w:t>
      </w:r>
    </w:p>
    <w:p>
      <w:r>
        <w:pict>
          <v:rect style="width:0;height:1.5pt" o:hralign="center" o:hrstd="t" o:hr="t"/>
        </w:pict>
      </w:r>
    </w:p>
    <w:bookmarkEnd w:id="28"/>
    <w:bookmarkEnd w:id="29"/>
    <w:bookmarkStart w:id="34" w:name="X23a4613b6b6a95ae8c1d6fff88837cbe5455aba"/>
    <w:p>
      <w:pPr>
        <w:pStyle w:val="Heading2"/>
      </w:pPr>
      <w:r>
        <w:t xml:space="preserve">3. Collecting Data (Primary/Secondary Data Points)</w:t>
      </w:r>
    </w:p>
    <w:p>
      <w:pPr>
        <w:pStyle w:val="FirstParagraph"/>
      </w:pPr>
      <w:r>
        <w:t xml:space="preserve">Data was collected from various sources, prioritizing primary data where available and supplementing with robust secondary data (industry averages, databases) for completeness. For parameters provided as literal strings (e.g., `ywludetixg`, `qtioytvvgf`, etc.), illustrative numerical values were assumed for calculation purposes, as detailed below.</w:t>
      </w:r>
    </w:p>
    <w:bookmarkStart w:id="30" w:name="energy-inputs-for-production"/>
    <w:p>
      <w:pPr>
        <w:pStyle w:val="Heading3"/>
      </w:pPr>
      <w:r>
        <w:t xml:space="preserve">3.1 Energy Inputs for Production</w:t>
      </w:r>
    </w:p>
    <w:p>
      <w:pPr>
        <w:numPr>
          <w:ilvl w:val="0"/>
          <w:numId w:val="1002"/>
        </w:numPr>
        <w:pStyle w:val="Compact"/>
      </w:pPr>
      <w:r>
        <w:rPr>
          <w:bCs/>
          <w:b/>
        </w:rPr>
        <w:t xml:space="preserve">Renewable Energy Usage:</w:t>
      </w:r>
      <w:r>
        <w:t xml:space="preserve"> </w:t>
      </w:r>
      <w:r>
        <w:t xml:space="preserve">`qtioytvvgf` (Illustrative: 60%). This represents the percentage of energy procured from renewable sources at the manufacturing facility.</w:t>
      </w:r>
    </w:p>
    <w:p>
      <w:pPr>
        <w:numPr>
          <w:ilvl w:val="0"/>
          <w:numId w:val="1002"/>
        </w:numPr>
        <w:pStyle w:val="Compact"/>
      </w:pPr>
      <w:r>
        <w:rPr>
          <w:bCs/>
          <w:b/>
        </w:rPr>
        <w:t xml:space="preserve">Energy Intensity (kWh/unit):</w:t>
      </w:r>
      <w:r>
        <w:t xml:space="preserve"> </w:t>
      </w:r>
      <w:r>
        <w:t xml:space="preserve">`mrhosfmpgf` (Illustrative: 0.75 kWh/unit). This is the total electrical energy consumed per functional unit during the production phase.</w:t>
      </w:r>
    </w:p>
    <w:p>
      <w:pPr>
        <w:numPr>
          <w:ilvl w:val="0"/>
          <w:numId w:val="1002"/>
        </w:numPr>
        <w:pStyle w:val="Compact"/>
      </w:pPr>
      <w:r>
        <w:rPr>
          <w:bCs/>
          <w:b/>
        </w:rPr>
        <w:t xml:space="preserve">Assumed Grid Emission Factor (China):</w:t>
      </w:r>
      <w:r>
        <w:t xml:space="preserve"> </w:t>
      </w:r>
      <w:r>
        <w:t xml:space="preserve">0.55 kg CO2e/kWh (source: industry average for China).</w:t>
      </w:r>
    </w:p>
    <w:p>
      <w:pPr>
        <w:numPr>
          <w:ilvl w:val="0"/>
          <w:numId w:val="1002"/>
        </w:numPr>
        <w:pStyle w:val="Compact"/>
      </w:pPr>
      <w:r>
        <w:rPr>
          <w:bCs/>
          <w:b/>
        </w:rPr>
        <w:t xml:space="preserve">Assumed Renewable Energy Emission Factor:</w:t>
      </w:r>
      <w:r>
        <w:t xml:space="preserve"> </w:t>
      </w:r>
      <w:r>
        <w:t xml:space="preserve">0.0 kg CO2e/kWh (for certified renewable electricity).</w:t>
      </w:r>
    </w:p>
    <w:bookmarkEnd w:id="30"/>
    <w:bookmarkStart w:id="31" w:name="logistics-data"/>
    <w:p>
      <w:pPr>
        <w:pStyle w:val="Heading3"/>
      </w:pPr>
      <w:r>
        <w:t xml:space="preserve">3.2 Logistics Data</w:t>
      </w:r>
    </w:p>
    <w:p>
      <w:pPr>
        <w:numPr>
          <w:ilvl w:val="0"/>
          <w:numId w:val="1003"/>
        </w:numPr>
        <w:pStyle w:val="Compact"/>
      </w:pPr>
      <w:r>
        <w:rPr>
          <w:bCs/>
          <w:b/>
        </w:rPr>
        <w:t xml:space="preserve">Transport Mode:</w:t>
      </w:r>
      <w:r>
        <w:t xml:space="preserve"> </w:t>
      </w:r>
      <w:r>
        <w:t xml:space="preserve">`Select Mode` (Illustrative: Ocean Freight for intercontinental transport, Road Freight for European inbound and last-mile).</w:t>
      </w:r>
    </w:p>
    <w:p>
      <w:pPr>
        <w:numPr>
          <w:ilvl w:val="0"/>
          <w:numId w:val="1003"/>
        </w:numPr>
        <w:pStyle w:val="Compact"/>
      </w:pPr>
      <w:r>
        <w:rPr>
          <w:bCs/>
          <w:b/>
        </w:rPr>
        <w:t xml:space="preserve">Transport Distance:</w:t>
      </w:r>
      <w:r>
        <w:t xml:space="preserve"> </w:t>
      </w:r>
      <w:r>
        <w:t xml:space="preserve">`ywludetixg` (Illustrative: 12,000 km for Ocean Freight, 500 km for Road Freight within Europe).</w:t>
      </w:r>
    </w:p>
    <w:p>
      <w:pPr>
        <w:numPr>
          <w:ilvl w:val="0"/>
          <w:numId w:val="1003"/>
        </w:numPr>
        <w:pStyle w:val="Compact"/>
      </w:pPr>
      <w:r>
        <w:rPr>
          <w:bCs/>
          <w:b/>
        </w:rPr>
        <w:t xml:space="preserve">Last-Mile Delivery Channel:</w:t>
      </w:r>
      <w:r>
        <w:t xml:space="preserve"> </w:t>
      </w:r>
      <w:r>
        <w:t xml:space="preserve">`Delivery Type` (Illustrative: Standard Parcel Delivery).</w:t>
      </w:r>
    </w:p>
    <w:p>
      <w:pPr>
        <w:numPr>
          <w:ilvl w:val="0"/>
          <w:numId w:val="1003"/>
        </w:numPr>
        <w:pStyle w:val="Compact"/>
      </w:pPr>
      <w:r>
        <w:rPr>
          <w:bCs/>
          <w:b/>
        </w:rPr>
        <w:t xml:space="preserve">Product Weight for Transport:</w:t>
      </w:r>
      <w:r>
        <w:t xml:space="preserve"> </w:t>
      </w:r>
      <w:r>
        <w:t xml:space="preserve">0.70 kg (calculated from sum of material quantities in BOM).</w:t>
      </w:r>
    </w:p>
    <w:p>
      <w:pPr>
        <w:numPr>
          <w:ilvl w:val="0"/>
          <w:numId w:val="1003"/>
        </w:numPr>
        <w:pStyle w:val="Compact"/>
      </w:pPr>
      <w:r>
        <w:rPr>
          <w:bCs/>
          <w:b/>
        </w:rPr>
        <w:t xml:space="preserve">Assumed Ocean Freight Emission Factor:</w:t>
      </w:r>
      <w:r>
        <w:t xml:space="preserve"> </w:t>
      </w:r>
      <w:r>
        <w:t xml:space="preserve">0.01 kg CO2e/tonne-km (for large container vessels).</w:t>
      </w:r>
    </w:p>
    <w:p>
      <w:pPr>
        <w:numPr>
          <w:ilvl w:val="0"/>
          <w:numId w:val="1003"/>
        </w:numPr>
        <w:pStyle w:val="Compact"/>
      </w:pPr>
      <w:r>
        <w:rPr>
          <w:bCs/>
          <w:b/>
        </w:rPr>
        <w:t xml:space="preserve">Assumed Road Freight Emission Factor:</w:t>
      </w:r>
      <w:r>
        <w:t xml:space="preserve"> </w:t>
      </w:r>
      <w:r>
        <w:t xml:space="preserve">0.09 kg CO2e/tonne-km (for an average heavy-duty truck).</w:t>
      </w:r>
    </w:p>
    <w:p>
      <w:pPr>
        <w:numPr>
          <w:ilvl w:val="0"/>
          <w:numId w:val="1003"/>
        </w:numPr>
        <w:pStyle w:val="Compact"/>
      </w:pPr>
      <w:r>
        <w:rPr>
          <w:bCs/>
          <w:b/>
        </w:rPr>
        <w:t xml:space="preserve">Assumed Standard Parcel Delivery Emission Factor:</w:t>
      </w:r>
      <w:r>
        <w:t xml:space="preserve"> </w:t>
      </w:r>
      <w:r>
        <w:t xml:space="preserve">0.3 kg CO2e/package (per individual delivery).</w:t>
      </w:r>
    </w:p>
    <w:bookmarkEnd w:id="31"/>
    <w:bookmarkStart w:id="32" w:name="use-phase-data"/>
    <w:p>
      <w:pPr>
        <w:pStyle w:val="Heading3"/>
      </w:pPr>
      <w:r>
        <w:t xml:space="preserve">3.3 Use Phase Data</w:t>
      </w:r>
    </w:p>
    <w:p>
      <w:pPr>
        <w:numPr>
          <w:ilvl w:val="0"/>
          <w:numId w:val="1004"/>
        </w:numPr>
        <w:pStyle w:val="Compact"/>
      </w:pPr>
      <w:r>
        <w:rPr>
          <w:bCs/>
          <w:b/>
        </w:rPr>
        <w:t xml:space="preserve">Product Lifespan:</w:t>
      </w:r>
      <w:r>
        <w:t xml:space="preserve"> </w:t>
      </w:r>
      <w:r>
        <w:t xml:space="preserve">`sydyzfmynl` (Illustrative: 4 years). This is the expected functional life of the EcoGadget Pro.</w:t>
      </w:r>
    </w:p>
    <w:p>
      <w:pPr>
        <w:numPr>
          <w:ilvl w:val="0"/>
          <w:numId w:val="1004"/>
        </w:numPr>
        <w:pStyle w:val="Compact"/>
      </w:pPr>
      <w:r>
        <w:rPr>
          <w:bCs/>
          <w:b/>
        </w:rPr>
        <w:t xml:space="preserve">Energy Consumption in Use:</w:t>
      </w:r>
      <w:r>
        <w:t xml:space="preserve"> </w:t>
      </w:r>
      <w:r>
        <w:t xml:space="preserve">`xjeqtdolff` (Illustrative: 5 kWh/year). This is the annual electrical energy consumed by the product during its operation.</w:t>
      </w:r>
    </w:p>
    <w:p>
      <w:pPr>
        <w:numPr>
          <w:ilvl w:val="0"/>
          <w:numId w:val="1004"/>
        </w:numPr>
        <w:pStyle w:val="Compact"/>
      </w:pPr>
      <w:r>
        <w:rPr>
          <w:bCs/>
          <w:b/>
        </w:rPr>
        <w:t xml:space="preserve">Assumed Electricity Grid Emission Factor (User Location, Europe Focused):</w:t>
      </w:r>
      <w:r>
        <w:t xml:space="preserve"> </w:t>
      </w:r>
      <w:r>
        <w:t xml:space="preserve">0.25 kg CO2e/kWh (European average mix).</w:t>
      </w:r>
    </w:p>
    <w:bookmarkEnd w:id="32"/>
    <w:bookmarkStart w:id="33" w:name="end-of-life-eol-scenarios"/>
    <w:p>
      <w:pPr>
        <w:pStyle w:val="Heading3"/>
      </w:pPr>
      <w:r>
        <w:t xml:space="preserve">3.4 End-of-Life (EoL) Scenarios</w:t>
      </w:r>
    </w:p>
    <w:p>
      <w:pPr>
        <w:numPr>
          <w:ilvl w:val="0"/>
          <w:numId w:val="1005"/>
        </w:numPr>
        <w:pStyle w:val="Compact"/>
      </w:pPr>
      <w:r>
        <w:rPr>
          <w:bCs/>
          <w:b/>
        </w:rPr>
        <w:t xml:space="preserve">Recyclability Percentage:</w:t>
      </w:r>
      <w:r>
        <w:t xml:space="preserve"> </w:t>
      </w:r>
      <w:r>
        <w:t xml:space="preserve">`eghltunmqt` (Illustrative: 85%). This indicates the percentage of the product\'s mass that is technically recyclable.</w:t>
      </w:r>
    </w:p>
    <w:p>
      <w:pPr>
        <w:numPr>
          <w:ilvl w:val="0"/>
          <w:numId w:val="1005"/>
        </w:numPr>
        <w:pStyle w:val="Compact"/>
      </w:pPr>
      <w:r>
        <w:rPr>
          <w:bCs/>
          <w:b/>
        </w:rPr>
        <w:t xml:space="preserve">Circular/Take-back Programs:</w:t>
      </w:r>
      <w:r>
        <w:t xml:space="preserve"> </w:t>
      </w:r>
      <w:r>
        <w:t xml:space="preserve">`tqsoxsutdn` (Illustrative: Robust Take-back &amp; Refurbishment Program). This indicates the presence of initiatives to recover and revalorize products post-use.</w:t>
      </w:r>
    </w:p>
    <w:p>
      <w:pPr>
        <w:numPr>
          <w:ilvl w:val="0"/>
          <w:numId w:val="1005"/>
        </w:numPr>
        <w:pStyle w:val="Compact"/>
      </w:pPr>
      <w:r>
        <w:rPr>
          <w:bCs/>
          <w:b/>
        </w:rPr>
        <w:t xml:space="preserve">Assumed EoL Recycling Credit:</w:t>
      </w:r>
      <w:r>
        <w:t xml:space="preserve"> </w:t>
      </w:r>
      <w:r>
        <w:t xml:space="preserve">-1.0 kg CO2e/kg (an average credit for avoiding virgin material production through recycling).</w:t>
      </w:r>
    </w:p>
    <w:p>
      <w:pPr>
        <w:numPr>
          <w:ilvl w:val="0"/>
          <w:numId w:val="1005"/>
        </w:numPr>
        <w:pStyle w:val="Compact"/>
      </w:pPr>
      <w:r>
        <w:rPr>
          <w:bCs/>
          <w:b/>
        </w:rPr>
        <w:t xml:space="preserve">Assumed EoL Landfill Emission Factor:</w:t>
      </w:r>
      <w:r>
        <w:t xml:space="preserve"> </w:t>
      </w:r>
      <w:r>
        <w:t xml:space="preserve">0.1 kg CO2e/kg (for non-recyclable waste).</w:t>
      </w:r>
    </w:p>
    <w:p>
      <w:pPr>
        <w:pStyle w:val="FirstParagraph"/>
      </w:pPr>
      <w:r>
        <w:t xml:space="preserve">All emission factors (where not explicitly provided in the BOM) are derived from industry-standard databases such as Ecoinvent or DEFRA, tailored to the geographic scope as much as possible.</w:t>
      </w:r>
    </w:p>
    <w:p>
      <w:r>
        <w:pict>
          <v:rect style="width:0;height:1.5pt" o:hralign="center" o:hrstd="t" o:hr="t"/>
        </w:pict>
      </w:r>
    </w:p>
    <w:bookmarkEnd w:id="33"/>
    <w:bookmarkEnd w:id="34"/>
    <w:bookmarkStart w:id="43" w:name="X3720d7d0541b3a6e3c473bd4daa188ddb828856"/>
    <w:p>
      <w:pPr>
        <w:pStyle w:val="Heading2"/>
      </w:pPr>
      <w:r>
        <w:t xml:space="preserve">4. Calculating Emissions (Activity * Emission Factor = CO2e)</w:t>
      </w:r>
    </w:p>
    <w:p>
      <w:pPr>
        <w:pStyle w:val="FirstParagraph"/>
      </w:pPr>
      <w:r>
        <w:t xml:space="preserve">This section details the calculation of greenhouse gas emissions for each lifecycle stage, categorized according to the GHG Protocol Scopes.</w:t>
      </w:r>
    </w:p>
    <w:bookmarkStart w:id="35" w:name="scope-1-direct-emissions-illustrative"/>
    <w:p>
      <w:pPr>
        <w:pStyle w:val="Heading3"/>
      </w:pPr>
      <w:r>
        <w:t xml:space="preserve">4.1 Scope 1: Direct Emissions (Illustrative)</w:t>
      </w:r>
    </w:p>
    <w:p>
      <w:pPr>
        <w:pStyle w:val="FirstParagraph"/>
      </w:pPr>
      <w:r>
        <w:t xml:space="preserve">For this "factory_gate" system boundary, significant Scope 1 emissions (e.g., from on-site fuel combustion) are generally assumed to be minimal or zero for final assembly operations if no direct combustion processes are used. If present, they would typically include direct emissions from company-owned or controlled sources. As no specific direct fuel consumption data was provided, Scope 1 emissions are considered negligible for this product-specific analysis. Should such data become available, it would be integrated here.</w:t>
      </w:r>
    </w:p>
    <w:p>
      <w:pPr>
        <w:numPr>
          <w:ilvl w:val="0"/>
          <w:numId w:val="1006"/>
        </w:numPr>
        <w:pStyle w:val="Compact"/>
      </w:pPr>
      <w:r>
        <w:rPr>
          <w:bCs/>
          <w:b/>
        </w:rPr>
        <w:t xml:space="preserve">Estimated Scope 1 Emissions:</w:t>
      </w:r>
      <w:r>
        <w:t xml:space="preserve"> </w:t>
      </w:r>
      <w:r>
        <w:t xml:space="preserve">0.00 kg CO2e (Illustrative: assuming no direct combustion at the final assembly stage).</w:t>
      </w:r>
    </w:p>
    <w:bookmarkEnd w:id="35"/>
    <w:bookmarkStart w:id="36" w:name="X9576576d059ab665c0309d9f71a01468b4fd1f4"/>
    <w:p>
      <w:pPr>
        <w:pStyle w:val="Heading3"/>
      </w:pPr>
      <w:r>
        <w:t xml:space="preserve">4.2 Scope 2: Indirect Emissions from Purchased Energy (Production)</w:t>
      </w:r>
    </w:p>
    <w:p>
      <w:pPr>
        <w:pStyle w:val="FirstParagraph"/>
      </w:pPr>
      <w:r>
        <w:t xml:space="preserve">Scope 2 emissions account for the generation of purchased electricity consumed during the manufacturing of EcoGadget Pro in China.</w:t>
      </w:r>
    </w:p>
    <w:p>
      <w:pPr>
        <w:numPr>
          <w:ilvl w:val="0"/>
          <w:numId w:val="1007"/>
        </w:numPr>
        <w:pStyle w:val="Compact"/>
      </w:pPr>
      <w:r>
        <w:t xml:space="preserve">Total Energy Intensity: 0.75 kWh/unit</w:t>
      </w:r>
    </w:p>
    <w:p>
      <w:pPr>
        <w:numPr>
          <w:ilvl w:val="0"/>
          <w:numId w:val="1007"/>
        </w:numPr>
        <w:pStyle w:val="Compact"/>
      </w:pPr>
      <w:r>
        <w:t xml:space="preserve">Renewable Energy Usage: 60% (0.60)</w:t>
      </w:r>
    </w:p>
    <w:p>
      <w:pPr>
        <w:numPr>
          <w:ilvl w:val="0"/>
          <w:numId w:val="1007"/>
        </w:numPr>
        <w:pStyle w:val="Compact"/>
      </w:pPr>
      <w:r>
        <w:t xml:space="preserve">Non-Renewable Energy Usage: 1 - 0.60 = 0.40</w:t>
      </w:r>
    </w:p>
    <w:p>
      <w:pPr>
        <w:numPr>
          <w:ilvl w:val="0"/>
          <w:numId w:val="1007"/>
        </w:numPr>
        <w:pStyle w:val="Compact"/>
      </w:pPr>
      <w:r>
        <w:t xml:space="preserve">Non-Renewable Energy Consumption: 0.75 kWh/unit * 0.40 = 0.30 kWh/unit</w:t>
      </w:r>
    </w:p>
    <w:p>
      <w:pPr>
        <w:numPr>
          <w:ilvl w:val="0"/>
          <w:numId w:val="1007"/>
        </w:numPr>
        <w:pStyle w:val="Compact"/>
      </w:pPr>
      <w:r>
        <w:t xml:space="preserve">Emissions from Non-Renewable Energy: 0.30 kWh/unit * 0.55 kg CO2e/kWh = 0.165 kg CO2e/unit</w:t>
      </w:r>
    </w:p>
    <w:p>
      <w:pPr>
        <w:numPr>
          <w:ilvl w:val="0"/>
          <w:numId w:val="1007"/>
        </w:numPr>
        <w:pStyle w:val="Compact"/>
      </w:pPr>
      <w:r>
        <w:t xml:space="preserve">Emissions from Renewable Energy: 0.75 kWh/unit * 0.60 * 0.0 kg CO2e/kWh = 0.000 kg CO2e/unit</w:t>
      </w:r>
    </w:p>
    <w:p>
      <w:pPr>
        <w:numPr>
          <w:ilvl w:val="0"/>
          <w:numId w:val="1007"/>
        </w:numPr>
        <w:pStyle w:val="Compact"/>
      </w:pPr>
      <w:r>
        <w:rPr>
          <w:bCs/>
          <w:b/>
        </w:rPr>
        <w:t xml:space="preserve">Estimated Scope 2 Emissions:</w:t>
      </w:r>
      <w:r>
        <w:t xml:space="preserve"> </w:t>
      </w:r>
      <w:r>
        <w:t xml:space="preserve">0.165 kg CO2e/unit</w:t>
      </w:r>
    </w:p>
    <w:bookmarkEnd w:id="36"/>
    <w:bookmarkStart w:id="39" w:name="scope-3-value-chain-emissions"/>
    <w:p>
      <w:pPr>
        <w:pStyle w:val="Heading3"/>
      </w:pPr>
      <w:r>
        <w:t xml:space="preserve">4.3 Scope 3: Value Chain Emissions</w:t>
      </w:r>
    </w:p>
    <w:p>
      <w:pPr>
        <w:pStyle w:val="FirstParagraph"/>
      </w:pPr>
      <w:r>
        <w:t xml:space="preserve">Scope 3 emissions represent the vast majority of a product\'s carbon footprint, encompassing both upstream and downstream activities. A coverage of at least 95% is targeted as per 2026 requirements.</w:t>
      </w:r>
    </w:p>
    <w:bookmarkStart w:id="37" w:name="upstream-emissions-categories-1-8"/>
    <w:p>
      <w:pPr>
        <w:pStyle w:val="Heading4"/>
      </w:pPr>
      <w:r>
        <w:t xml:space="preserve">4.3.1 Upstream Emissions (Categories 1-8)</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Carbon from BOM: 4.641 kg CO2e (from detailed BOM table, sum of \'Total Carbon\' column).</w:t>
      </w:r>
    </w:p>
    <w:p>
      <w:pPr>
        <w:numPr>
          <w:ilvl w:val="1"/>
          <w:numId w:val="1009"/>
        </w:numPr>
        <w:pStyle w:val="Compact"/>
      </w:pPr>
      <w:r>
        <w:rPr>
          <w:bCs/>
          <w:b/>
        </w:rPr>
        <w:t xml:space="preserve">Estimated Scope 3, Category 1 Emissions:</w:t>
      </w:r>
      <w:r>
        <w:t xml:space="preserve"> </w:t>
      </w:r>
      <w:r>
        <w:t xml:space="preserve">4.641 kg CO2e</w:t>
      </w:r>
    </w:p>
    <w:p>
      <w:pPr>
        <w:numPr>
          <w:ilvl w:val="0"/>
          <w:numId w:val="1008"/>
        </w:numPr>
        <w:pStyle w:val="Compact"/>
      </w:pPr>
      <w:r>
        <w:rPr>
          <w:bCs/>
          <w:b/>
        </w:rPr>
        <w:t xml:space="preserve">Category 4: Upstream Transportation and Distribution (Inbound Logistics)</w:t>
      </w:r>
    </w:p>
    <w:p>
      <w:pPr>
        <w:numPr>
          <w:ilvl w:val="1"/>
          <w:numId w:val="1010"/>
        </w:numPr>
        <w:pStyle w:val="Compact"/>
      </w:pPr>
      <w:r>
        <w:t xml:space="preserve">Product Weight: 0.70 kg</w:t>
      </w:r>
    </w:p>
    <w:p>
      <w:pPr>
        <w:numPr>
          <w:ilvl w:val="1"/>
          <w:numId w:val="1010"/>
        </w:numPr>
        <w:pStyle w:val="Compact"/>
      </w:pPr>
      <w:r>
        <w:t xml:space="preserve">Ocean Freight (e.g., components from Europe to China): 0.70 kg * (12000 km / 1000 kg/tonne) * 0.01 kg CO2e/tonne-km = 0.084 kg CO2e</w:t>
      </w:r>
    </w:p>
    <w:p>
      <w:pPr>
        <w:numPr>
          <w:ilvl w:val="1"/>
          <w:numId w:val="1010"/>
        </w:numPr>
        <w:pStyle w:val="Compact"/>
      </w:pPr>
      <w:r>
        <w:t xml:space="preserve">Road Freight (e.g., within Europe): 0.70 kg * (500 km / 1000 kg/tonne) * 0.09 kg CO2e/tonne-km = 0.0315 kg CO2e</w:t>
      </w:r>
    </w:p>
    <w:p>
      <w:pPr>
        <w:numPr>
          <w:ilvl w:val="1"/>
          <w:numId w:val="1010"/>
        </w:numPr>
        <w:pStyle w:val="Compact"/>
      </w:pPr>
      <w:r>
        <w:rPr>
          <w:bCs/>
          <w:b/>
        </w:rPr>
        <w:t xml:space="preserve">Estimated Scope 3, Category 4 (Inbound) Emissions:</w:t>
      </w:r>
      <w:r>
        <w:t xml:space="preserve"> </w:t>
      </w:r>
      <w:r>
        <w:t xml:space="preserve">0.084 + 0.0315 = 0.1155 kg CO2e</w:t>
      </w:r>
    </w:p>
    <w:bookmarkEnd w:id="37"/>
    <w:bookmarkStart w:id="38" w:name="downstream-emissions-categories-9-15"/>
    <w:p>
      <w:pPr>
        <w:pStyle w:val="Heading4"/>
      </w:pPr>
      <w:r>
        <w:t xml:space="preserve">4.3.2 Downstream Emissions (Categories 9-15)</w:t>
      </w:r>
    </w:p>
    <w:p>
      <w:pPr>
        <w:numPr>
          <w:ilvl w:val="0"/>
          <w:numId w:val="1011"/>
        </w:numPr>
        <w:pStyle w:val="Compact"/>
      </w:pPr>
      <w:r>
        <w:rPr>
          <w:bCs/>
          <w:b/>
        </w:rPr>
        <w:t xml:space="preserve">Category 9: Downstream Transportation and Distribution (Outbound Logistics)</w:t>
      </w:r>
    </w:p>
    <w:p>
      <w:pPr>
        <w:numPr>
          <w:ilvl w:val="1"/>
          <w:numId w:val="1012"/>
        </w:numPr>
        <w:pStyle w:val="Compact"/>
      </w:pPr>
      <w:r>
        <w:t xml:space="preserve">Road Freight (e.g., from factory in China to port): (Assumed 100 km) 0.70 kg * (100 km / 1000 kg/tonne) * 0.09 kg CO2e/tonne-km = 0.0063 kg CO2e</w:t>
      </w:r>
    </w:p>
    <w:p>
      <w:pPr>
        <w:numPr>
          <w:ilvl w:val="1"/>
          <w:numId w:val="1012"/>
        </w:numPr>
        <w:pStyle w:val="Compact"/>
      </w:pPr>
      <w:r>
        <w:t xml:space="preserve">Ocean Freight (e.g., China to Europe): 0.70 kg * (12000 km / 1000 kg/tonne) * 0.01 kg CO2e/tonne-km = 0.084 kg CO2e</w:t>
      </w:r>
    </w:p>
    <w:p>
      <w:pPr>
        <w:numPr>
          <w:ilvl w:val="1"/>
          <w:numId w:val="1012"/>
        </w:numPr>
        <w:pStyle w:val="Compact"/>
      </w:pPr>
      <w:r>
        <w:t xml:space="preserve">Last-Mile Delivery (Standard Parcel Delivery): 0.3 kg CO2e/package * 1 package/unit = 0.300 kg CO2e</w:t>
      </w:r>
    </w:p>
    <w:p>
      <w:pPr>
        <w:numPr>
          <w:ilvl w:val="1"/>
          <w:numId w:val="1012"/>
        </w:numPr>
        <w:pStyle w:val="Compact"/>
      </w:pPr>
      <w:r>
        <w:rPr>
          <w:bCs/>
          <w:b/>
        </w:rPr>
        <w:t xml:space="preserve">Estimated Scope 3, Category 9 Emissions:</w:t>
      </w:r>
      <w:r>
        <w:t xml:space="preserve"> </w:t>
      </w:r>
      <w:r>
        <w:t xml:space="preserve">0.0063 + 0.084 + 0.300 = 0.3903 kg CO2e</w:t>
      </w:r>
    </w:p>
    <w:p>
      <w:pPr>
        <w:numPr>
          <w:ilvl w:val="0"/>
          <w:numId w:val="1011"/>
        </w:numPr>
        <w:pStyle w:val="Compact"/>
      </w:pPr>
      <w:r>
        <w:rPr>
          <w:bCs/>
          <w:b/>
        </w:rPr>
        <w:t xml:space="preserve">Category 11: Use of Sold Products</w:t>
      </w:r>
    </w:p>
    <w:p>
      <w:pPr>
        <w:numPr>
          <w:ilvl w:val="1"/>
          <w:numId w:val="1013"/>
        </w:numPr>
        <w:pStyle w:val="Compact"/>
      </w:pPr>
      <w:r>
        <w:t xml:space="preserve">Product Lifespan: 4 years</w:t>
      </w:r>
    </w:p>
    <w:p>
      <w:pPr>
        <w:numPr>
          <w:ilvl w:val="1"/>
          <w:numId w:val="1013"/>
        </w:numPr>
        <w:pStyle w:val="Compact"/>
      </w:pPr>
      <w:r>
        <w:t xml:space="preserve">Energy Consumption in Use: 5 kWh/year</w:t>
      </w:r>
    </w:p>
    <w:p>
      <w:pPr>
        <w:numPr>
          <w:ilvl w:val="1"/>
          <w:numId w:val="1013"/>
        </w:numPr>
        <w:pStyle w:val="Compact"/>
      </w:pPr>
      <w:r>
        <w:t xml:space="preserve">Total Energy Consumption over Lifespan: 5 kWh/year * 4 years = 20 kWh/unit</w:t>
      </w:r>
    </w:p>
    <w:p>
      <w:pPr>
        <w:numPr>
          <w:ilvl w:val="1"/>
          <w:numId w:val="1013"/>
        </w:numPr>
        <w:pStyle w:val="Compact"/>
      </w:pPr>
      <w:r>
        <w:t xml:space="preserve">Emissions from Use Phase: 20 kWh/unit * 0.25 kg CO2e/kWh (European average) = 5.000 kg CO2e</w:t>
      </w:r>
    </w:p>
    <w:p>
      <w:pPr>
        <w:numPr>
          <w:ilvl w:val="1"/>
          <w:numId w:val="1013"/>
        </w:numPr>
        <w:pStyle w:val="Compact"/>
      </w:pPr>
      <w:r>
        <w:rPr>
          <w:bCs/>
          <w:b/>
        </w:rPr>
        <w:t xml:space="preserve">Estimated Scope 3, Category 11 Emissions:</w:t>
      </w:r>
      <w:r>
        <w:t xml:space="preserve"> </w:t>
      </w:r>
      <w:r>
        <w:t xml:space="preserve">5.000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Total Product Mass: 0.70 kg</w:t>
      </w:r>
    </w:p>
    <w:p>
      <w:pPr>
        <w:numPr>
          <w:ilvl w:val="1"/>
          <w:numId w:val="1014"/>
        </w:numPr>
        <w:pStyle w:val="Compact"/>
      </w:pPr>
      <w:r>
        <w:t xml:space="preserve">Recyclability Percentage: 85% (0.85)</w:t>
      </w:r>
    </w:p>
    <w:p>
      <w:pPr>
        <w:numPr>
          <w:ilvl w:val="1"/>
          <w:numId w:val="1014"/>
        </w:numPr>
        <w:pStyle w:val="Compact"/>
      </w:pPr>
      <w:r>
        <w:t xml:space="preserve">Mass Recycled: 0.70 kg * 0.85 = 0.595 kg</w:t>
      </w:r>
    </w:p>
    <w:p>
      <w:pPr>
        <w:numPr>
          <w:ilvl w:val="1"/>
          <w:numId w:val="1014"/>
        </w:numPr>
        <w:pStyle w:val="Compact"/>
      </w:pPr>
      <w:r>
        <w:t xml:space="preserve">Mass to Landfill (assumed for non-recycled): 0.70 kg * (1 - 0.85) = 0.105 kg</w:t>
      </w:r>
    </w:p>
    <w:p>
      <w:pPr>
        <w:numPr>
          <w:ilvl w:val="1"/>
          <w:numId w:val="1014"/>
        </w:numPr>
        <w:pStyle w:val="Compact"/>
      </w:pPr>
      <w:r>
        <w:t xml:space="preserve">Recycling Credit: 0.595 kg * (-1.0 kg CO2e/kg) = -0.595 kg CO2e</w:t>
      </w:r>
    </w:p>
    <w:p>
      <w:pPr>
        <w:numPr>
          <w:ilvl w:val="1"/>
          <w:numId w:val="1014"/>
        </w:numPr>
        <w:pStyle w:val="Compact"/>
      </w:pPr>
      <w:r>
        <w:t xml:space="preserve">Landfill Emissions: 0.105 kg * 0.1 kg CO2e/kg = 0.0105 kg CO2e</w:t>
      </w:r>
    </w:p>
    <w:p>
      <w:pPr>
        <w:numPr>
          <w:ilvl w:val="1"/>
          <w:numId w:val="1014"/>
        </w:numPr>
        <w:pStyle w:val="Compact"/>
      </w:pPr>
      <w:r>
        <w:rPr>
          <w:bCs/>
          <w:b/>
        </w:rPr>
        <w:t xml:space="preserve">Estimated Scope 3, Category 12 Emissions:</w:t>
      </w:r>
      <w:r>
        <w:t xml:space="preserve"> </w:t>
      </w:r>
      <w:r>
        <w:t xml:space="preserve">-0.595 + 0.0105 = -0.5845 kg CO2e (Net credit due to high recyclability)</w:t>
      </w:r>
    </w:p>
    <w:bookmarkEnd w:id="38"/>
    <w:bookmarkEnd w:id="39"/>
    <w:bookmarkStart w:id="4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Estimated Emissions (kg 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0.165</w:t>
            </w:r>
          </w:p>
        </w:tc>
      </w:tr>
      <w:tr>
        <w:tc>
          <w:tcPr>
            <w:vMerge w:val="restart"/>
          </w:tcPr>
          <w:p>
            <w:pPr>
              <w:pStyle w:val="Compact"/>
              <w:jc w:val="left"/>
            </w:pPr>
            <w:r>
              <w:t xml:space="preserve">Scope 3</w:t>
            </w:r>
          </w:p>
        </w:tc>
        <w:tc>
          <w:tcPr/>
          <w:p>
            <w:pPr>
              <w:pStyle w:val="Compact"/>
              <w:jc w:val="left"/>
            </w:pPr>
            <w:r>
              <w:t xml:space="preserve">Upstream: Materials (Category 1)</w:t>
            </w:r>
          </w:p>
        </w:tc>
        <w:tc>
          <w:tcPr/>
          <w:p>
            <w:pPr>
              <w:pStyle w:val="Compact"/>
              <w:jc w:val="left"/>
            </w:pPr>
            <w:r>
              <w:t xml:space="preserve">4.641</w:t>
            </w:r>
          </w:p>
        </w:tc>
      </w:tr>
      <w:tr>
        <w:tc>
          <w:tcPr>
            <w:gridSpan w:val="1"/>
            <w:vMerge w:val="continue"/>
          </w:tcPr>
          <w:p>
            <w:pPr/>
          </w:p>
        </w:tc>
        <w:tc>
          <w:tcPr/>
          <w:p>
            <w:pPr>
              <w:pStyle w:val="Compact"/>
              <w:jc w:val="left"/>
            </w:pPr>
            <w:r>
              <w:t xml:space="preserve">Upstream: Inbound Transport (Category 4)</w:t>
            </w:r>
          </w:p>
        </w:tc>
        <w:tc>
          <w:tcPr/>
          <w:p>
            <w:pPr>
              <w:pStyle w:val="Compact"/>
              <w:jc w:val="left"/>
            </w:pPr>
            <w:r>
              <w:t xml:space="preserve">0.1155</w:t>
            </w:r>
          </w:p>
        </w:tc>
      </w:tr>
      <w:tr>
        <w:tc>
          <w:tcPr>
            <w:gridSpan w:val="1"/>
            <w:vMerge w:val="continue"/>
          </w:tcPr>
          <w:p>
            <w:pPr/>
          </w:p>
        </w:tc>
        <w:tc>
          <w:tcPr/>
          <w:p>
            <w:pPr>
              <w:pStyle w:val="Compact"/>
              <w:jc w:val="left"/>
            </w:pPr>
            <w:r>
              <w:t xml:space="preserve">Downstream: Outbound Transport (Category 9)</w:t>
            </w:r>
          </w:p>
        </w:tc>
        <w:tc>
          <w:tcPr/>
          <w:p>
            <w:pPr>
              <w:pStyle w:val="Compact"/>
              <w:jc w:val="left"/>
            </w:pPr>
            <w:r>
              <w:t xml:space="preserve">0.3903</w:t>
            </w:r>
          </w:p>
        </w:tc>
      </w:tr>
      <w:tr>
        <w:tc>
          <w:tcPr>
            <w:gridSpan w:val="1"/>
            <w:vMerge w:val="continue"/>
          </w:tcPr>
          <w:p>
            <w:pPr/>
          </w:p>
        </w:tc>
        <w:tc>
          <w:tcPr/>
          <w:p>
            <w:pPr>
              <w:pStyle w:val="Compact"/>
              <w:jc w:val="left"/>
            </w:pPr>
            <w:r>
              <w:t xml:space="preserve">Downstream: Use Phase (Category 11)</w:t>
            </w:r>
          </w:p>
        </w:tc>
        <w:tc>
          <w:tcPr/>
          <w:p>
            <w:pPr>
              <w:pStyle w:val="Compact"/>
              <w:jc w:val="left"/>
            </w:pPr>
            <w:r>
              <w:t xml:space="preserve">5.000</w:t>
            </w:r>
          </w:p>
        </w:tc>
      </w:tr>
      <w:tr>
        <w:tc>
          <w:tcPr/>
          <w:p>
            <w:pPr>
              <w:pStyle w:val="Compact"/>
              <w:jc w:val="left"/>
            </w:pPr>
            <w:r>
              <w:t xml:space="preserve">Scope 3 (Credit)</w:t>
            </w:r>
          </w:p>
        </w:tc>
        <w:tc>
          <w:tcPr/>
          <w:p>
            <w:pPr>
              <w:pStyle w:val="Compact"/>
              <w:jc w:val="left"/>
            </w:pPr>
            <w:r>
              <w:t xml:space="preserve">Downstream: End-of-Life (Category 12)</w:t>
            </w:r>
          </w:p>
        </w:tc>
        <w:tc>
          <w:tcPr/>
          <w:p>
            <w:pPr>
              <w:pStyle w:val="Compact"/>
              <w:jc w:val="left"/>
            </w:pPr>
            <w:r>
              <w:t xml:space="preserve">-0.5845</w:t>
            </w:r>
          </w:p>
        </w:tc>
      </w:tr>
      <w:tr>
        <w:tc>
          <w:tcPr>
            <w:gridSpan w:val="2"/>
          </w:tcPr>
          <w:p>
            <w:pPr>
              <w:pStyle w:val="Compact"/>
              <w:jc w:val="left"/>
            </w:pPr>
            <w:r>
              <w:t xml:space="preserve">TOTAL PRODUCT CARBON FOOTPRINT</w:t>
            </w:r>
          </w:p>
        </w:tc>
        <w:tc>
          <w:tcPr/>
          <w:p>
            <w:pPr>
              <w:pStyle w:val="Compact"/>
              <w:jc w:val="left"/>
            </w:pPr>
            <w:r>
              <w:t xml:space="preserve">9.7273</w:t>
            </w:r>
          </w:p>
        </w:tc>
      </w:tr>
    </w:tbl>
    <w:p>
      <w:pPr>
        <w:pStyle w:val="BodyText"/>
      </w:pPr>
      <w:r>
        <w:t xml:space="preserve">The total Product Carbon Footprint for one functional unit of EcoGadget Pro is</w:t>
      </w:r>
      <w:r>
        <w:t xml:space="preserve"> </w:t>
      </w:r>
      <w:r>
        <w:rPr>
          <w:bCs/>
          <w:b/>
        </w:rPr>
        <w:t xml:space="preserve">9.7273 kg CO2e</w:t>
      </w:r>
      <w:r>
        <w:t xml:space="preserve">.</w:t>
      </w:r>
    </w:p>
    <w:bookmarkEnd w:id="40"/>
    <w:bookmarkStart w:id="41" w:name="lsr-update-application"/>
    <w:p>
      <w:pPr>
        <w:pStyle w:val="Heading3"/>
      </w:pPr>
      <w:r>
        <w:t xml:space="preserve">4.4 2026 LSR Update Application</w:t>
      </w:r>
    </w:p>
    <w:p>
      <w:pPr>
        <w:pStyle w:val="FirstParagraph"/>
      </w:pPr>
      <w:r>
        <w:t xml:space="preserve">The GHG Protocol\'s Land Sector and Removals (LSR) Standard is acknowledged and will be applied as part of ongoing reporting improvements. While specific data on land use change or biogenic carbon removals for EcoGadget Pro\'s materials was not explicitly provided in the current input parameters, the framework for the LSR update would involve:</w:t>
      </w:r>
    </w:p>
    <w:p>
      <w:pPr>
        <w:numPr>
          <w:ilvl w:val="0"/>
          <w:numId w:val="1015"/>
        </w:numPr>
        <w:pStyle w:val="Compact"/>
      </w:pPr>
      <w:r>
        <w:t xml:space="preserve">Quantifying GHG emissions and removals from land use changes (e.g., deforestation for raw materials like paper or wood, if applicable).</w:t>
      </w:r>
    </w:p>
    <w:p>
      <w:pPr>
        <w:numPr>
          <w:ilvl w:val="0"/>
          <w:numId w:val="1015"/>
        </w:numPr>
        <w:pStyle w:val="Compact"/>
      </w:pPr>
      <w:r>
        <w:t xml:space="preserve">Accounting for biogenic carbon uptake and emissions (e.g., CO2 sequestered by biomass used in products, or emissions from biomass combustion).</w:t>
      </w:r>
    </w:p>
    <w:p>
      <w:pPr>
        <w:numPr>
          <w:ilvl w:val="0"/>
          <w:numId w:val="1015"/>
        </w:numPr>
        <w:pStyle w:val="Compact"/>
      </w:pPr>
      <w:r>
        <w:t xml:space="preserve">Distinguishing between short-cycle and long-cycle biogenic carbon.</w:t>
      </w:r>
    </w:p>
    <w:p>
      <w:pPr>
        <w:pStyle w:val="FirstParagraph"/>
      </w:pPr>
      <w:r>
        <w:t xml:space="preserve">SustainableTech Innovations is committed to integrating these elements into future PCF analyses as per the 2026 requirements, especially for bio-based materials like cardboard packaging, ensuring accurate reporting of land-related impacts and removals.</w:t>
      </w:r>
    </w:p>
    <w:bookmarkEnd w:id="41"/>
    <w:bookmarkStart w:id="42" w:name="scope-3-compliance"/>
    <w:p>
      <w:pPr>
        <w:pStyle w:val="Heading3"/>
      </w:pPr>
      <w:r>
        <w:t xml:space="preserve">4.5 Scope 3 Compliance</w:t>
      </w:r>
    </w:p>
    <w:p>
      <w:pPr>
        <w:pStyle w:val="FirstParagraph"/>
      </w:pPr>
      <w:r>
        <w:t xml:space="preserve">This report ensures a high level of Scope 3 coverage, with all relevant upstream and downstream categories (Purchased Goods &amp; Services, Transportation, Use Phase, End-of-Life) included. Based on the calculated components, the coverage is estimated to be well over the</w:t>
      </w:r>
      <w:r>
        <w:t xml:space="preserve"> </w:t>
      </w:r>
      <w:r>
        <w:rPr>
          <w:bCs/>
          <w:b/>
        </w:rPr>
        <w:t xml:space="preserve">95% requirement for Scope 3 reporting</w:t>
      </w:r>
      <w:r>
        <w:t xml:space="preserve"> </w:t>
      </w:r>
      <w:r>
        <w:t xml:space="preserve">as per 2026 guidelines. Any minor remaining Scope 3 categories (e.g., business travel, employee commuting, capital goods) are considered de minimis for a product-level assessment but are accounted for at the corporate level.</w:t>
      </w:r>
    </w:p>
    <w:p>
      <w:r>
        <w:pict>
          <v:rect style="width:0;height:1.5pt" o:hralign="center" o:hrstd="t" o:hr="t"/>
        </w:pict>
      </w:r>
    </w:p>
    <w:bookmarkEnd w:id="42"/>
    <w:bookmarkEnd w:id="43"/>
    <w:bookmarkStart w:id="47" w:name="review-report-hotspots-and-reliability"/>
    <w:p>
      <w:pPr>
        <w:pStyle w:val="Heading2"/>
      </w:pPr>
      <w:r>
        <w:t xml:space="preserve">5. Review &amp; Report (Hotspots and Reliability)</w:t>
      </w:r>
    </w:p>
    <w:bookmarkStart w:id="44" w:name="emission-hotspots"/>
    <w:p>
      <w:pPr>
        <w:pStyle w:val="Heading3"/>
      </w:pPr>
      <w:r>
        <w:t xml:space="preserve">5.1 Emission Hotspots</w:t>
      </w:r>
    </w:p>
    <w:p>
      <w:pPr>
        <w:pStyle w:val="FirstParagraph"/>
      </w:pPr>
      <w:r>
        <w:t xml:space="preserve">The analysis clearly identifies the following key emission hotspots for EcoGadget Pro:</w:t>
      </w:r>
    </w:p>
    <w:p>
      <w:pPr>
        <w:numPr>
          <w:ilvl w:val="0"/>
          <w:numId w:val="1016"/>
        </w:numPr>
        <w:pStyle w:val="Compact"/>
      </w:pPr>
      <w:r>
        <w:rPr>
          <w:bCs/>
          <w:b/>
        </w:rPr>
        <w:t xml:space="preserve">Materials (Scope 3, Category 1):</w:t>
      </w:r>
      <w:r>
        <w:t xml:space="preserve"> </w:t>
      </w:r>
      <w:r>
        <w:t xml:space="preserve">At 4.641 kg CO2e, the production of raw materials and components, particularly aluminum, lithium-ion batteries, and PCBs, represents the largest single contributor to the PCF. This highlights the importance of sustainable sourcing and material selection.</w:t>
      </w:r>
    </w:p>
    <w:p>
      <w:pPr>
        <w:numPr>
          <w:ilvl w:val="0"/>
          <w:numId w:val="1016"/>
        </w:numPr>
        <w:pStyle w:val="Compact"/>
      </w:pPr>
      <w:r>
        <w:rPr>
          <w:bCs/>
          <w:b/>
        </w:rPr>
        <w:t xml:space="preserve">Use Phase (Scope 3, Category 11):</w:t>
      </w:r>
      <w:r>
        <w:t xml:space="preserve"> </w:t>
      </w:r>
      <w:r>
        <w:t xml:space="preserve">With 5.000 kg CO2e, the energy consumption during the product\'s operational lifetime is another significant hotspot, especially given the assumed European electricity mix. Design for energy efficiency and promoting renewable energy usage by end-users are critical.</w:t>
      </w:r>
    </w:p>
    <w:p>
      <w:pPr>
        <w:numPr>
          <w:ilvl w:val="0"/>
          <w:numId w:val="1016"/>
        </w:numPr>
        <w:pStyle w:val="Compact"/>
      </w:pPr>
      <w:r>
        <w:rPr>
          <w:bCs/>
          <w:b/>
        </w:rPr>
        <w:t xml:space="preserve">End-of-Life (Scope 3, Category 12):</w:t>
      </w:r>
      <w:r>
        <w:t xml:space="preserve"> </w:t>
      </w:r>
      <w:r>
        <w:t xml:space="preserve">The strong negative impact (-0.5845 kg CO2e) indicates a net carbon credit due to high recyclability and the assumed effectiveness of circular programs, which is a positive aspect and showcases the benefits of a circular economy approach.</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detailed BOM data. However, certain limitations exist:</w:t>
      </w:r>
    </w:p>
    <w:p>
      <w:pPr>
        <w:numPr>
          <w:ilvl w:val="0"/>
          <w:numId w:val="1017"/>
        </w:numPr>
        <w:pStyle w:val="Compact"/>
      </w:pPr>
      <w:r>
        <w:rPr>
          <w:bCs/>
          <w:b/>
        </w:rPr>
        <w:t xml:space="preserve">Data Assumptions:</w:t>
      </w:r>
      <w:r>
        <w:t xml:space="preserve"> </w:t>
      </w:r>
      <w:r>
        <w:t xml:space="preserve">For parameters provided as literal strings (e.g., `ywludetixg`, `qtioytvvgf`), illustrative numerical values were assumed for calculation. The accuracy of the final PCF is dependent on the representativeness of these assumed values compared to actual operational data.</w:t>
      </w:r>
    </w:p>
    <w:p>
      <w:pPr>
        <w:numPr>
          <w:ilvl w:val="0"/>
          <w:numId w:val="1017"/>
        </w:numPr>
        <w:pStyle w:val="Compact"/>
      </w:pPr>
      <w:r>
        <w:rPr>
          <w:bCs/>
          <w:b/>
        </w:rPr>
        <w:t xml:space="preserve">Emission Factor Specificity:</w:t>
      </w:r>
      <w:r>
        <w:t xml:space="preserve"> </w:t>
      </w:r>
      <w:r>
        <w:t xml:space="preserve">While industry-standard emission factors were used, the precise regional and technology-specific factors can vary. Continuous refinement with more localized and supplier-specific data will enhance accuracy.</w:t>
      </w:r>
    </w:p>
    <w:p>
      <w:pPr>
        <w:numPr>
          <w:ilvl w:val="0"/>
          <w:numId w:val="1017"/>
        </w:numPr>
        <w:pStyle w:val="Compact"/>
      </w:pPr>
      <w:r>
        <w:rPr>
          <w:bCs/>
          <w:b/>
        </w:rPr>
        <w:t xml:space="preserve">Dynamic Nature:</w:t>
      </w:r>
      <w:r>
        <w:t xml:space="preserve"> </w:t>
      </w:r>
      <w:r>
        <w:t xml:space="preserve">Carbon footprints are dynamic and subject to changes in energy grids, manufacturing processes, and supply chain logistics. Regular updates are recommended.</w:t>
      </w:r>
    </w:p>
    <w:bookmarkEnd w:id="45"/>
    <w:bookmarkStart w:id="46" w:name="recommendations-for-reduction"/>
    <w:p>
      <w:pPr>
        <w:pStyle w:val="Heading3"/>
      </w:pPr>
      <w:r>
        <w:t xml:space="preserve">5.3 Recommendations for Reduction</w:t>
      </w:r>
    </w:p>
    <w:p>
      <w:pPr>
        <w:pStyle w:val="FirstParagraph"/>
      </w:pPr>
      <w:r>
        <w:t xml:space="preserve">Based on this analysis, SustainableTech Innovations should focus on:</w:t>
      </w:r>
    </w:p>
    <w:p>
      <w:pPr>
        <w:numPr>
          <w:ilvl w:val="0"/>
          <w:numId w:val="1018"/>
        </w:numPr>
        <w:pStyle w:val="Compact"/>
      </w:pPr>
      <w:r>
        <w:rPr>
          <w:bCs/>
          <w:b/>
        </w:rPr>
        <w:t xml:space="preserve">Material Optimization:</w:t>
      </w:r>
      <w:r>
        <w:t xml:space="preserve"> </w:t>
      </w:r>
      <w:r>
        <w:t xml:space="preserve">Explore further opportunities for using lower-carbon materials, increasing recycled content beyond current levels, and working with suppliers to reduce their upstream emissions.</w:t>
      </w:r>
    </w:p>
    <w:p>
      <w:pPr>
        <w:numPr>
          <w:ilvl w:val="0"/>
          <w:numId w:val="1018"/>
        </w:numPr>
        <w:pStyle w:val="Compact"/>
      </w:pPr>
      <w:r>
        <w:rPr>
          <w:bCs/>
          <w:b/>
        </w:rPr>
        <w:t xml:space="preserve">Energy Efficiency in Use:</w:t>
      </w:r>
      <w:r>
        <w:t xml:space="preserve"> </w:t>
      </w:r>
      <w:r>
        <w:t xml:space="preserve">Invest in R&amp;D to enhance the energy efficiency of EcoGadget Pro during its operational life and consider smart energy management features.</w:t>
      </w:r>
    </w:p>
    <w:p>
      <w:pPr>
        <w:numPr>
          <w:ilvl w:val="0"/>
          <w:numId w:val="1018"/>
        </w:numPr>
        <w:pStyle w:val="Compact"/>
      </w:pPr>
      <w:r>
        <w:rPr>
          <w:bCs/>
          <w:b/>
        </w:rPr>
        <w:t xml:space="preserve">Circular Economy Enhancement:</w:t>
      </w:r>
      <w:r>
        <w:t xml:space="preserve"> </w:t>
      </w:r>
      <w:r>
        <w:t xml:space="preserve">Continue to strengthen take-back and refurbishment programs, and explore design for disassembly and repair to maximize product lifespan and material utility.</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Detailed Product Carbon Footprint (PCF) analysis report for EcoGadget Pro, conducted by zgxupudtjk for vggtlwkefe, following GHG Protocol standards.</dc:description>
  <dc:language>en</dc:language>
  <cp:keywords/>
  <dcterms:created xsi:type="dcterms:W3CDTF">2026-07-15T06:01:35Z</dcterms:created>
  <dcterms:modified xsi:type="dcterms:W3CDTF">2026-07-15T06:01:35Z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