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EcoGadget</w:t>
      </w:r>
      <w:r>
        <w:t xml:space="preserve"> </w:t>
      </w:r>
      <w:r>
        <w:t xml:space="preserve">Pro</w:t>
      </w:r>
    </w:p>
    <w:p>
      <w:pPr>
        <w:pStyle w:val="FirstParagraph"/>
      </w:pPr>
      <w:r>
        <w:t xml:space="preserve">carboncalcpcf.com</w:t>
      </w:r>
    </w:p>
    <w:bookmarkStart w:id="20" w:name="X4154f7984f158b3de7640a03843e209740d93e3"/>
    <w:p>
      <w:pPr>
        <w:pStyle w:val="Heading1"/>
      </w:pPr>
      <w:r>
        <w:t xml:space="preserve">Product Carbon Footprint Analysis for EcoGadget Pro</w:t>
      </w:r>
    </w:p>
    <w:p>
      <w:pPr>
        <w:pStyle w:val="FirstParagraph"/>
      </w:pPr>
      <w:r>
        <w:rPr>
          <w:bCs/>
          <w:b/>
        </w:rPr>
        <w:t xml:space="preserve">Accounting Standard:</w:t>
      </w:r>
      <w:r>
        <w:t xml:space="preserve"> </w:t>
      </w:r>
      <w:r>
        <w:t xml:space="preserve">GHG Protocol</w:t>
      </w:r>
    </w:p>
    <w:p>
      <w:pPr>
        <w:pStyle w:val="BodyText"/>
      </w:pPr>
      <w:r>
        <w:rPr>
          <w:bCs/>
          <w:b/>
        </w:rPr>
        <w:t xml:space="preserve">Name of the Company:</w:t>
      </w:r>
      <w:r>
        <w:t xml:space="preserve"> </w:t>
      </w:r>
      <w:r>
        <w:t xml:space="preserve">lpgnmlsykx</w:t>
      </w:r>
    </w:p>
    <w:p>
      <w:pPr>
        <w:pStyle w:val="BodyText"/>
      </w:pPr>
      <w:r>
        <w:rPr>
          <w:bCs/>
          <w:b/>
        </w:rPr>
        <w:t xml:space="preserve">Senior Sustainability Consultant:</w:t>
      </w:r>
      <w:r>
        <w:t xml:space="preserve"> </w:t>
      </w:r>
      <w:r>
        <w:t xml:space="preserve">ugfyyiyuuw</w:t>
      </w:r>
    </w:p>
    <w:p>
      <w:pPr>
        <w:pStyle w:val="BodyText"/>
      </w:pPr>
      <w:r>
        <w:t xml:space="preserve">Disclaimer: This report is generated based on available data and industry standards, utilizing placeholder values where specific input data for all parameters was not provided. All calculations and numerical values should be considered illustrative for demonstration purposes unless derived from explicit input parameters.</w:t>
      </w:r>
    </w:p>
    <w:bookmarkEnd w:id="20"/>
    <w:bookmarkStart w:id="21" w:name="X14222e19b004f903168dc94097b9d07d4e49bc7"/>
    <w:p>
      <w:pPr>
        <w:pStyle w:val="Heading1"/>
      </w:pPr>
      <w:r>
        <w:t xml:space="preserve">Product Carbon Footprint Analysis for EcoGadget Pro</w:t>
      </w:r>
    </w:p>
    <w:p>
      <w:pPr>
        <w:pStyle w:val="FirstParagraph"/>
      </w:pPr>
      <w:r>
        <w:rPr>
          <w:bCs/>
          <w:b/>
        </w:rPr>
        <w:t xml:space="preserve">Company:</w:t>
      </w:r>
      <w:r>
        <w:t xml:space="preserve"> </w:t>
      </w:r>
      <w:r>
        <w:t xml:space="preserve">lpgnmlsykx</w:t>
      </w:r>
    </w:p>
    <w:p>
      <w:pPr>
        <w:pStyle w:val="BodyText"/>
      </w:pPr>
      <w:r>
        <w:rPr>
          <w:bCs/>
          <w:b/>
        </w:rPr>
        <w:t xml:space="preserve">Consultant:</w:t>
      </w:r>
      <w:r>
        <w:t xml:space="preserve"> </w:t>
      </w:r>
      <w:r>
        <w:t xml:space="preserve">ugfyyiyuuw, Senior Sustainability Consultant</w:t>
      </w:r>
    </w:p>
    <w:p>
      <w:pPr>
        <w:pStyle w:val="BodyText"/>
      </w:pPr>
      <w:r>
        <w:rPr>
          <w:bCs/>
          <w:b/>
        </w:rPr>
        <w:t xml:space="preserve">Generated Date:</w:t>
      </w:r>
      <w:r>
        <w:t xml:space="preserve"> </w:t>
      </w:r>
      <w:r>
        <w:t xml:space="preserve">May 24,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"EcoGadget Pro" (mjlqllgrnt) manufactured by lpgnmlsykx. The analysis adheres to the Greenhouse Gas (GHG) Protocol Product Standard, covering the full lifecycle from raw material acquisition to end-of-life. The primary objective is to quantify greenhouse gas emissions (GHG) expressed as carbon dioxide equivalents (CO2e) and identify emission hotspots across the product\'s value chain. This assessment incorporates specific data provided for materials, manufacturing energy, transport logistics, product use phase, and end-of-life scenarios. Our findings indicate that the "Use Phase" is the most significant contributor to the overall carbon footprint, a common trend for electronic products, highlighting key areas for future emission reduction strategies.</w:t>
      </w:r>
    </w:p>
    <w:bookmarkEnd w:id="22"/>
    <w:p>
      <w:r>
        <w:pict>
          <v:rect style="width:0;height:1.5pt" o:hralign="center" o:hrstd="t" o:hr="t"/>
        </w:pict>
      </w:r>
    </w:p>
    <w:bookmarkStart w:id="28" w:name="define-scope"/>
    <w:p>
      <w:pPr>
        <w:pStyle w:val="Heading2"/>
      </w:pPr>
      <w:r>
        <w:t xml:space="preserve">1. Define Scope</w:t>
      </w:r>
    </w:p>
    <w:p>
      <w:pPr>
        <w:pStyle w:val="FirstParagraph"/>
      </w:pPr>
      <w:r>
        <w:t xml:space="preserve">The scoping phase establishes the framework for the Product Carbon Footprint (PCF) analysis, ensuring consistency and relevance according to the GHG Protocol.</w:t>
      </w:r>
    </w:p>
    <w:bookmarkStart w:id="23"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 of EcoGadget Pro</w:t>
      </w:r>
      <w:r>
        <w:t xml:space="preserve">.</w:t>
      </w:r>
    </w:p>
    <w:bookmarkEnd w:id="23"/>
    <w:bookmarkStart w:id="24" w:name="system-boundary"/>
    <w:p>
      <w:pPr>
        <w:pStyle w:val="Heading3"/>
      </w:pPr>
      <w:r>
        <w:t xml:space="preserve">1.2. System Boundary</w:t>
      </w:r>
    </w:p>
    <w:p>
      <w:pPr>
        <w:pStyle w:val="FirstParagraph"/>
      </w:pPr>
      <w:r>
        <w:t xml:space="preserve">The system boundary for this assessment is defined as</w:t>
      </w:r>
      <w:r>
        <w:t xml:space="preserve"> </w:t>
      </w:r>
      <w:r>
        <w:rPr>
          <w:bCs/>
          <w:b/>
        </w:rPr>
        <w:t xml:space="preserve">"cradle-to-gate with downstream activities" (factory_gate)</w:t>
      </w:r>
      <w:r>
        <w:t xml:space="preserve">, encompassing all relevant lifecycle stages from raw material extraction and processing, through manufacturing, distribution, the use phase, and extending to the product\'s end-of-life. This comprehensive approach ensures a holistic understanding of the product\'s environmental impact.</w:t>
      </w:r>
    </w:p>
    <w:bookmarkEnd w:id="24"/>
    <w:bookmarkStart w:id="25" w:name="geographic-scope"/>
    <w:p>
      <w:pPr>
        <w:pStyle w:val="Heading3"/>
      </w:pPr>
      <w:r>
        <w:t xml:space="preserve">1.3.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 (for upstream components and downstream distribution/use)</w:t>
      </w:r>
    </w:p>
    <w:bookmarkEnd w:id="25"/>
    <w:bookmarkStart w:id="26" w:name="accounting-standard"/>
    <w:p>
      <w:pPr>
        <w:pStyle w:val="Heading3"/>
      </w:pPr>
      <w:r>
        <w:t xml:space="preserve">1.4. Accounting Standard</w:t>
      </w:r>
    </w:p>
    <w:p>
      <w:pPr>
        <w:pStyle w:val="FirstParagraph"/>
      </w:pPr>
      <w:r>
        <w:t xml:space="preserve">This Product Carbon Footprint analysis is conducted in strict accordance with the</w:t>
      </w:r>
      <w:r>
        <w:t xml:space="preserve"> </w:t>
      </w:r>
      <w:r>
        <w:rPr>
          <w:bCs/>
          <w:b/>
        </w:rPr>
        <w:t xml:space="preserve">GHG Protocol Product Life Cycle Accounting and Reporting Standard</w:t>
      </w:r>
      <w:r>
        <w:t xml:space="preserve">. This standard provides a globally consistent approach to measure and manage product emissions, enabling identification of GHG reduction opportunities and supporting transparent reporting.</w:t>
      </w:r>
    </w:p>
    <w:p>
      <w:pPr>
        <w:pStyle w:val="BodyText"/>
      </w:pPr>
      <w:r>
        <w:t xml:space="preserve">Emissions are categorized into Scope 1 (direct emissions), Scope 2 (indirect emissions from purchased energy), and Scope 3 (all other indirect emissions across the value chain) to ensure comprehensive and standardized reporting.</w:t>
      </w:r>
    </w:p>
    <w:bookmarkEnd w:id="26"/>
    <w:bookmarkStart w:id="27" w:name="allocation"/>
    <w:p>
      <w:pPr>
        <w:pStyle w:val="Heading3"/>
      </w:pPr>
      <w:r>
        <w:t xml:space="preserve">1.5. Allocation</w:t>
      </w:r>
    </w:p>
    <w:p>
      <w:pPr>
        <w:pStyle w:val="FirstParagraph"/>
      </w:pPr>
      <w:r>
        <w:t xml:space="preserve">Allocation of environmental impacts across co-products or multiple functions is performed based on physical relationships where possible. For recycling and end-of-life scenarios, the "recycled content" approach (also known as the "closed-loop" approach) is generally applied where primary data allows for credits from avoided virgin material production. Illustrative credits are applied in the end-of-life phase for this report, acknowledging circular economy impacts.</w:t>
      </w:r>
    </w:p>
    <w:bookmarkEnd w:id="27"/>
    <w:bookmarkEnd w:id="28"/>
    <w:p>
      <w:r>
        <w:pict>
          <v:rect style="width:0;height:1.5pt" o:hralign="center" o:hrstd="t" o:hr="t"/>
        </w:pict>
      </w:r>
    </w:p>
    <w:bookmarkStart w:id="29" w:name="map-lifecycle-lci-inventory-stages"/>
    <w:p>
      <w:pPr>
        <w:pStyle w:val="Heading2"/>
      </w:pPr>
      <w:r>
        <w:t xml:space="preserve">2. Map Lifecycle (LCI Inventory Stages)</w:t>
      </w:r>
    </w:p>
    <w:p>
      <w:pPr>
        <w:pStyle w:val="FirstParagraph"/>
      </w:pPr>
      <w:r>
        <w:t xml:space="preserve">The lifecycle of the EcoGadget Pro is mapped across the following stages, providing the framework for data collection and emission calculation:</w:t>
      </w:r>
    </w:p>
    <w:p>
      <w:pPr>
        <w:numPr>
          <w:ilvl w:val="0"/>
          <w:numId w:val="1002"/>
        </w:numPr>
        <w:pStyle w:val="Compact"/>
      </w:pPr>
      <w:r>
        <w:rPr>
          <w:bCs/>
          <w:b/>
        </w:rPr>
        <w:t xml:space="preserve">Materials Acquisition &amp; Processing (Upstream - Scope 3)</w:t>
      </w:r>
      <w:r>
        <w:t xml:space="preserve">: Extraction, cultivation, and processing of raw materials.</w:t>
      </w:r>
    </w:p>
    <w:p>
      <w:pPr>
        <w:numPr>
          <w:ilvl w:val="0"/>
          <w:numId w:val="1002"/>
        </w:numPr>
        <w:pStyle w:val="Compact"/>
      </w:pPr>
      <w:r>
        <w:rPr>
          <w:bCs/>
          <w:b/>
        </w:rPr>
        <w:t xml:space="preserve">Manufacturing (Core Operations - Scope 1 &amp; 2)</w:t>
      </w:r>
      <w:r>
        <w:t xml:space="preserve">: All processes at the lpgnmlsykx facility in China, including energy consumption, water usage, and waste generation directly related to product assembly.</w:t>
      </w:r>
    </w:p>
    <w:p>
      <w:pPr>
        <w:numPr>
          <w:ilvl w:val="0"/>
          <w:numId w:val="1002"/>
        </w:numPr>
        <w:pStyle w:val="Compact"/>
      </w:pPr>
      <w:r>
        <w:rPr>
          <w:bCs/>
          <w:b/>
        </w:rPr>
        <w:t xml:space="preserve">Transport (Upstream &amp; Downstream - Scope 3)</w:t>
      </w:r>
      <w:r>
        <w:t xml:space="preserve">:</w:t>
      </w:r>
    </w:p>
    <w:p>
      <w:pPr>
        <w:numPr>
          <w:ilvl w:val="1"/>
          <w:numId w:val="1003"/>
        </w:numPr>
        <w:pStyle w:val="Compact"/>
      </w:pPr>
      <w:r>
        <w:t xml:space="preserve">Upstream: Transportation of raw materials and components to the manufacturing facility.</w:t>
      </w:r>
    </w:p>
    <w:p>
      <w:pPr>
        <w:numPr>
          <w:ilvl w:val="1"/>
          <w:numId w:val="1003"/>
        </w:numPr>
        <w:pStyle w:val="Compact"/>
      </w:pPr>
      <w:r>
        <w:t xml:space="preserve">Downstream: Distribution of the finished product from the factory to the consumer, including last-mile delivery.</w:t>
      </w:r>
    </w:p>
    <w:p>
      <w:pPr>
        <w:numPr>
          <w:ilvl w:val="0"/>
          <w:numId w:val="1002"/>
        </w:numPr>
        <w:pStyle w:val="Compact"/>
      </w:pPr>
      <w:r>
        <w:rPr>
          <w:bCs/>
          <w:b/>
        </w:rPr>
        <w:t xml:space="preserve">Use Phase (Downstream - Scope 3)</w:t>
      </w:r>
      <w:r>
        <w:t xml:space="preserve">: Energy consumption and other impacts during the product\'s intended use by the consumer.</w:t>
      </w:r>
    </w:p>
    <w:p>
      <w:pPr>
        <w:numPr>
          <w:ilvl w:val="0"/>
          <w:numId w:val="1002"/>
        </w:numPr>
        <w:pStyle w:val="Compact"/>
      </w:pPr>
      <w:r>
        <w:rPr>
          <w:bCs/>
          <w:b/>
        </w:rPr>
        <w:t xml:space="preserve">End-of-Life (Downstream - Scope 3)</w:t>
      </w:r>
      <w:r>
        <w:t xml:space="preserve">: Disposal, recycling, or recovery processes for the product and its packaging at the end of its useful life.</w:t>
      </w:r>
    </w:p>
    <w:bookmarkEnd w:id="29"/>
    <w:p>
      <w:r>
        <w:pict>
          <v:rect style="width:0;height:1.5pt" o:hralign="center" o:hrstd="t" o:hr="t"/>
        </w:pict>
      </w:r>
    </w:p>
    <w:bookmarkStart w:id="37" w:name="Xb57f50a89bf1f3f1837369be949d9d60d6c1272"/>
    <w:p>
      <w:pPr>
        <w:pStyle w:val="Heading2"/>
      </w:pPr>
      <w:r>
        <w:t xml:space="preserve">3. Collect Data (Primary/Secondary Data Points)</w:t>
      </w:r>
    </w:p>
    <w:p>
      <w:pPr>
        <w:pStyle w:val="FirstParagraph"/>
      </w:pPr>
      <w:r>
        <w:t xml:space="preserve">This section details the data points collected or estimated for each lifecycle stage. Where primary data was not available for all parameters, industry-standard emission factors (e.g., from Ecoinvent, DEFRA, IEA) and illustrative values have been applied.</w:t>
      </w:r>
    </w:p>
    <w:bookmarkStart w:id="30" w:name="X6fb0876b6688f2a5c209c9dc58fbd7b7d608d10"/>
    <w:p>
      <w:pPr>
        <w:pStyle w:val="Heading3"/>
      </w:pPr>
      <w:r>
        <w:t xml:space="preserve">3.1. Materials Acquisition &amp; Processing (zgjesvto)</w:t>
      </w:r>
    </w:p>
    <w:p>
      <w:pPr>
        <w:pStyle w:val="FirstParagraph"/>
      </w:pPr>
      <w:r>
        <w:t xml:space="preserve">The Detailed Bill of Materials (BOM) for "EcoGadget Pro" (zgjesvto) was used to calculate the material impact. The provided BOM data is as follows (all values for Emission Factor and Total Carbon are illustrative for this report):</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Recycled Aluminum</w:t>
            </w:r>
          </w:p>
        </w:tc>
        <w:tc>
          <w:tcPr/>
          <w:p>
            <w:pPr>
              <w:pStyle w:val="Compact"/>
              <w:jc w:val="left"/>
            </w:pPr>
            <w:r>
              <w:t xml:space="preserve">Metal</w:t>
            </w:r>
          </w:p>
        </w:tc>
        <w:tc>
          <w:tcPr/>
          <w:p>
            <w:pPr>
              <w:pStyle w:val="Compact"/>
              <w:jc w:val="left"/>
            </w:pPr>
            <w:r>
              <w:t xml:space="preserve">Smelting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5.0</w:t>
            </w:r>
          </w:p>
        </w:tc>
        <w:tc>
          <w:tcPr/>
          <w:p>
            <w:pPr>
              <w:pStyle w:val="Compact"/>
              <w:jc w:val="left"/>
            </w:pPr>
            <w:r>
              <w:t xml:space="preserve">1.0</w:t>
            </w:r>
          </w:p>
        </w:tc>
      </w:tr>
      <w:tr>
        <w:tc>
          <w:tcPr/>
          <w:p>
            <w:pPr>
              <w:pStyle w:val="Compact"/>
              <w:jc w:val="left"/>
            </w:pPr>
            <w:r>
              <w:t xml:space="preserve">P001</w:t>
            </w:r>
          </w:p>
        </w:tc>
        <w:tc>
          <w:tcPr/>
          <w:p>
            <w:pPr>
              <w:pStyle w:val="Compact"/>
              <w:jc w:val="left"/>
            </w:pPr>
            <w:r>
              <w:t xml:space="preserve">Bio-based Plastic</w:t>
            </w:r>
          </w:p>
        </w:tc>
        <w:tc>
          <w:tcPr/>
          <w:p>
            <w:pPr>
              <w:pStyle w:val="Compact"/>
              <w:jc w:val="left"/>
            </w:pPr>
            <w:r>
              <w:t xml:space="preserve">Polymer</w:t>
            </w:r>
          </w:p>
        </w:tc>
        <w:tc>
          <w:tcPr/>
          <w:p>
            <w:pPr>
              <w:pStyle w:val="Compact"/>
              <w:jc w:val="left"/>
            </w:pPr>
            <w:r>
              <w:t xml:space="preserve">Extrusion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2.5</w:t>
            </w:r>
          </w:p>
        </w:tc>
        <w:tc>
          <w:tcPr/>
          <w:p>
            <w:pPr>
              <w:pStyle w:val="Compact"/>
              <w:jc w:val="left"/>
            </w:pPr>
            <w:r>
              <w:t xml:space="preserve">0.25</w:t>
            </w:r>
          </w:p>
        </w:tc>
      </w:tr>
      <w:tr>
        <w:tc>
          <w:tcPr/>
          <w:p>
            <w:pPr>
              <w:pStyle w:val="Compact"/>
              <w:jc w:val="left"/>
            </w:pPr>
            <w:r>
              <w:t xml:space="preserve">E001</w:t>
            </w:r>
          </w:p>
        </w:tc>
        <w:tc>
          <w:tcPr/>
          <w:p>
            <w:pPr>
              <w:pStyle w:val="Compact"/>
              <w:jc w:val="left"/>
            </w:pPr>
            <w:r>
              <w:t xml:space="preserve">Electronic Chip</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1.5</w:t>
            </w:r>
          </w:p>
        </w:tc>
        <w:tc>
          <w:tcPr/>
          <w:p>
            <w:pPr>
              <w:pStyle w:val="Compact"/>
              <w:jc w:val="left"/>
            </w:pPr>
            <w:r>
              <w:t xml:space="preserve">1.5</w:t>
            </w:r>
          </w:p>
        </w:tc>
      </w:tr>
      <w:tr>
        <w:tc>
          <w:tcPr/>
          <w:p>
            <w:pPr>
              <w:pStyle w:val="Compact"/>
              <w:jc w:val="left"/>
            </w:pPr>
            <w:r>
              <w:t xml:space="preserve">P002</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Pulping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1.2</w:t>
            </w:r>
          </w:p>
        </w:tc>
        <w:tc>
          <w:tcPr/>
          <w:p>
            <w:pPr>
              <w:pStyle w:val="Compact"/>
              <w:jc w:val="left"/>
            </w:pPr>
            <w:r>
              <w:t xml:space="preserve">0.06</w:t>
            </w:r>
          </w:p>
        </w:tc>
      </w:tr>
    </w:tbl>
    <w:p>
      <w:pPr>
        <w:pStyle w:val="BodyText"/>
      </w:pPr>
      <w:r>
        <w:rPr>
          <w:bCs/>
          <w:b/>
        </w:rPr>
        <w:t xml:space="preserve">Total Material Emissions (Illustrative):</w:t>
      </w:r>
      <w:r>
        <w:t xml:space="preserve"> </w:t>
      </w:r>
      <w:r>
        <w:t xml:space="preserve">2.81 kg CO2e (Scope 3, Category 1: Purchased goods and services).</w:t>
      </w:r>
    </w:p>
    <w:p>
      <w:pPr>
        <w:pStyle w:val="BodyText"/>
      </w:pPr>
      <w:r>
        <w:t xml:space="preserve">Product Weight for Transport (estimated, including minor components/packaging): 0.4 kg.</w:t>
      </w:r>
    </w:p>
    <w:bookmarkEnd w:id="30"/>
    <w:bookmarkStart w:id="31" w:name="X06fc4951374774d889e0121533ad46bee2b199f"/>
    <w:p>
      <w:pPr>
        <w:pStyle w:val="Heading3"/>
      </w:pPr>
      <w:r>
        <w:t xml:space="preserve">3.2. Manufacturing (lpgnmlsykx Facility in China)</w:t>
      </w:r>
    </w:p>
    <w:p>
      <w:pPr>
        <w:numPr>
          <w:ilvl w:val="0"/>
          <w:numId w:val="1004"/>
        </w:numPr>
        <w:pStyle w:val="Compact"/>
      </w:pPr>
      <w:r>
        <w:rPr>
          <w:bCs/>
          <w:b/>
        </w:rPr>
        <w:t xml:space="preserve">Energy Intensity (kWh/unit):</w:t>
      </w:r>
      <w:r>
        <w:t xml:space="preserve"> </w:t>
      </w:r>
      <w:r>
        <w:t xml:space="preserve">fsulljkqkn (0.5 kWh/unit)</w:t>
      </w:r>
    </w:p>
    <w:p>
      <w:pPr>
        <w:numPr>
          <w:ilvl w:val="0"/>
          <w:numId w:val="1004"/>
        </w:numPr>
        <w:pStyle w:val="Compact"/>
      </w:pPr>
      <w:r>
        <w:rPr>
          <w:bCs/>
          <w:b/>
        </w:rPr>
        <w:t xml:space="preserve">Renewable Energy Usage:</w:t>
      </w:r>
      <w:r>
        <w:t xml:space="preserve"> </w:t>
      </w:r>
      <w:r>
        <w:t xml:space="preserve">uxfwrhsdsz (80%)</w:t>
      </w:r>
    </w:p>
    <w:p>
      <w:pPr>
        <w:numPr>
          <w:ilvl w:val="0"/>
          <w:numId w:val="1004"/>
        </w:numPr>
        <w:pStyle w:val="Compact"/>
      </w:pPr>
      <w:r>
        <w:rPr>
          <w:bCs/>
          <w:b/>
        </w:rPr>
        <w:t xml:space="preserve">Grid Electricity Emission Factor (China, illustrative):</w:t>
      </w:r>
      <w:r>
        <w:t xml:space="preserve"> </w:t>
      </w:r>
      <w:r>
        <w:t xml:space="preserve">0.59 kg CO2e/kWh (Based on IEA 2025 data, 589.2 kg CO2e/MWh).</w:t>
      </w:r>
    </w:p>
    <w:p>
      <w:pPr>
        <w:numPr>
          <w:ilvl w:val="0"/>
          <w:numId w:val="1004"/>
        </w:numPr>
        <w:pStyle w:val="Compact"/>
      </w:pPr>
      <w:r>
        <w:rPr>
          <w:bCs/>
          <w:b/>
        </w:rPr>
        <w:t xml:space="preserve">Renewable Electricity Emission Factor:</w:t>
      </w:r>
      <w:r>
        <w:t xml:space="preserve"> </w:t>
      </w:r>
      <w:r>
        <w:t xml:space="preserve">0.0 kg CO2e/kWh (assuming certified renewable energy with zero operational emissions).</w:t>
      </w:r>
    </w:p>
    <w:p>
      <w:pPr>
        <w:pStyle w:val="FirstParagraph"/>
      </w:pPr>
      <w:r>
        <w:rPr>
          <w:bCs/>
          <w:b/>
        </w:rPr>
        <w:t xml:space="preserve">Note on Scope 1:</w:t>
      </w:r>
      <w:r>
        <w:t xml:space="preserve"> </w:t>
      </w:r>
      <w:r>
        <w:t xml:space="preserve">For this analysis, direct emissions (Scope 1) from owned or controlled sources at the manufacturing facility (e.g., fuel combustion in company vehicles or facilities, process emissions) are assumed to be negligible or not directly associated with the product\'s manufacturing process, as the primary energy consumption is from purchased electricity (Scope 2).</w:t>
      </w:r>
    </w:p>
    <w:bookmarkEnd w:id="31"/>
    <w:bookmarkStart w:id="34" w:name="transport"/>
    <w:p>
      <w:pPr>
        <w:pStyle w:val="Heading3"/>
      </w:pPr>
      <w:r>
        <w:t xml:space="preserve">3.3. Transport</w:t>
      </w:r>
    </w:p>
    <w:p>
      <w:pPr>
        <w:pStyle w:val="FirstParagraph"/>
      </w:pPr>
      <w:r>
        <w:t xml:space="preserve">Logistics data for the supply chain is integrated as follows:</w:t>
      </w:r>
    </w:p>
    <w:bookmarkStart w:id="32" w:name="Xf1f4355b03a08e0829358dba0de546461eb16fc"/>
    <w:p>
      <w:pPr>
        <w:pStyle w:val="Heading4"/>
      </w:pPr>
      <w:r>
        <w:t xml:space="preserve">3.3.1. Upstream Transport (Components to China Factory)</w:t>
      </w:r>
    </w:p>
    <w:p>
      <w:pPr>
        <w:numPr>
          <w:ilvl w:val="0"/>
          <w:numId w:val="1005"/>
        </w:numPr>
        <w:pStyle w:val="Compact"/>
      </w:pPr>
      <w:r>
        <w:rPr>
          <w:bCs/>
          <w:b/>
        </w:rPr>
        <w:t xml:space="preserve">Assumed Average Distance:</w:t>
      </w:r>
      <w:r>
        <w:t xml:space="preserve"> </w:t>
      </w:r>
      <w:r>
        <w:t xml:space="preserve">500 km (European supply chain focus for components)</w:t>
      </w:r>
    </w:p>
    <w:p>
      <w:pPr>
        <w:numPr>
          <w:ilvl w:val="0"/>
          <w:numId w:val="1005"/>
        </w:numPr>
        <w:pStyle w:val="Compact"/>
      </w:pPr>
      <w:r>
        <w:rPr>
          <w:bCs/>
          <w:b/>
        </w:rPr>
        <w:t xml:space="preserve">Transport Mode:</w:t>
      </w:r>
      <w:r>
        <w:t xml:space="preserve"> </w:t>
      </w:r>
      <w:r>
        <w:t xml:space="preserve">Road Freight (Heavy Goods Vehicle - HGV)</w:t>
      </w:r>
    </w:p>
    <w:p>
      <w:pPr>
        <w:numPr>
          <w:ilvl w:val="0"/>
          <w:numId w:val="1005"/>
        </w:numPr>
        <w:pStyle w:val="Compact"/>
      </w:pPr>
      <w:r>
        <w:rPr>
          <w:bCs/>
          <w:b/>
        </w:rPr>
        <w:t xml:space="preserve">Emission Factor (Illustrative, average for Europe):</w:t>
      </w:r>
      <w:r>
        <w:t xml:space="preserve"> </w:t>
      </w:r>
      <w:r>
        <w:t xml:space="preserve">0.09 kg CO2e/tonne-km. (Derived from DEFRA/Ecoinvent data for freight, specific factors vary by vehicle type and load).</w:t>
      </w:r>
    </w:p>
    <w:bookmarkEnd w:id="32"/>
    <w:bookmarkStart w:id="33" w:name="X52b22c867b17b83d4666f957b973c42bb67a631"/>
    <w:p>
      <w:pPr>
        <w:pStyle w:val="Heading4"/>
      </w:pPr>
      <w:r>
        <w:t xml:space="preserve">3.3.2. Downstream Distribution Transport (China to Europe to Customer)</w:t>
      </w:r>
    </w:p>
    <w:p>
      <w:pPr>
        <w:pStyle w:val="FirstParagraph"/>
      </w:pPr>
      <w:r>
        <w:t xml:space="preserve">The parameter `vvzrgqjpsy` (1500 km) is interpreted as the primary distribution distance. `Select Mode` (Road Freight) is for this primary distribution from port to distribution hub within Europe. `Delivery Type` (Parcel Service) accounts for last-mile delivery.</w:t>
      </w:r>
    </w:p>
    <w:p>
      <w:pPr>
        <w:numPr>
          <w:ilvl w:val="0"/>
          <w:numId w:val="1006"/>
        </w:numPr>
        <w:pStyle w:val="Compact"/>
      </w:pPr>
      <w:r>
        <w:rPr>
          <w:bCs/>
          <w:b/>
        </w:rPr>
        <w:t xml:space="preserve">Long-Haul (China to Europe Port):</w:t>
      </w:r>
    </w:p>
    <w:p>
      <w:pPr>
        <w:numPr>
          <w:ilvl w:val="1"/>
          <w:numId w:val="1007"/>
        </w:numPr>
        <w:pStyle w:val="Compact"/>
      </w:pPr>
      <w:r>
        <w:rPr>
          <w:bCs/>
          <w:b/>
        </w:rPr>
        <w:t xml:space="preserve">Mode:</w:t>
      </w:r>
      <w:r>
        <w:t xml:space="preserve"> </w:t>
      </w:r>
      <w:r>
        <w:t xml:space="preserve">Ocean Freight</w:t>
      </w:r>
    </w:p>
    <w:p>
      <w:pPr>
        <w:numPr>
          <w:ilvl w:val="1"/>
          <w:numId w:val="1007"/>
        </w:numPr>
        <w:pStyle w:val="Compact"/>
      </w:pPr>
      <w:r>
        <w:rPr>
          <w:bCs/>
          <w:b/>
        </w:rPr>
        <w:t xml:space="preserve">Distance:</w:t>
      </w:r>
      <w:r>
        <w:t xml:space="preserve"> </w:t>
      </w:r>
      <w:r>
        <w:t xml:space="preserve">15,000 km (illustrative)</w:t>
      </w:r>
    </w:p>
    <w:p>
      <w:pPr>
        <w:numPr>
          <w:ilvl w:val="1"/>
          <w:numId w:val="1007"/>
        </w:numPr>
        <w:pStyle w:val="Compact"/>
      </w:pPr>
      <w:r>
        <w:rPr>
          <w:bCs/>
          <w:b/>
        </w:rPr>
        <w:t xml:space="preserve">Emission Factor (Illustrative, average):</w:t>
      </w:r>
      <w:r>
        <w:t xml:space="preserve"> </w:t>
      </w:r>
      <w:r>
        <w:t xml:space="preserve">0.01 kg CO2e/tonne-km (Ocean freight is generally less carbon-intensive per tonne-km than road).</w:t>
      </w:r>
    </w:p>
    <w:p>
      <w:pPr>
        <w:numPr>
          <w:ilvl w:val="0"/>
          <w:numId w:val="1006"/>
        </w:numPr>
        <w:pStyle w:val="Compact"/>
      </w:pPr>
      <w:r>
        <w:rPr>
          <w:bCs/>
          <w:b/>
        </w:rPr>
        <w:t xml:space="preserve">Primary Distribution (Europe Port to Distribution Hub):</w:t>
      </w:r>
    </w:p>
    <w:p>
      <w:pPr>
        <w:numPr>
          <w:ilvl w:val="1"/>
          <w:numId w:val="1008"/>
        </w:numPr>
        <w:pStyle w:val="Compact"/>
      </w:pPr>
      <w:r>
        <w:rPr>
          <w:bCs/>
          <w:b/>
        </w:rPr>
        <w:t xml:space="preserve">Mode:</w:t>
      </w:r>
      <w:r>
        <w:t xml:space="preserve"> </w:t>
      </w:r>
      <w:r>
        <w:t xml:space="preserve">Select Mode (Road Freight - HGV)</w:t>
      </w:r>
    </w:p>
    <w:p>
      <w:pPr>
        <w:numPr>
          <w:ilvl w:val="1"/>
          <w:numId w:val="1008"/>
        </w:numPr>
        <w:pStyle w:val="Compact"/>
      </w:pPr>
      <w:r>
        <w:rPr>
          <w:bCs/>
          <w:b/>
        </w:rPr>
        <w:t xml:space="preserve">Distance:</w:t>
      </w:r>
      <w:r>
        <w:t xml:space="preserve"> </w:t>
      </w:r>
      <w:r>
        <w:t xml:space="preserve">500 km (part of vvzrgqjpsy, illustrative)</w:t>
      </w:r>
    </w:p>
    <w:p>
      <w:pPr>
        <w:numPr>
          <w:ilvl w:val="1"/>
          <w:numId w:val="1008"/>
        </w:numPr>
        <w:pStyle w:val="Compact"/>
      </w:pPr>
      <w:r>
        <w:rPr>
          <w:bCs/>
          <w:b/>
        </w:rPr>
        <w:t xml:space="preserve">Emission Factor (Illustrative, average for Europe):</w:t>
      </w:r>
      <w:r>
        <w:t xml:space="preserve"> </w:t>
      </w:r>
      <w:r>
        <w:t xml:space="preserve">0.09 kg CO2e/tonne-km.</w:t>
      </w:r>
    </w:p>
    <w:p>
      <w:pPr>
        <w:numPr>
          <w:ilvl w:val="0"/>
          <w:numId w:val="1006"/>
        </w:numPr>
        <w:pStyle w:val="Compact"/>
      </w:pPr>
      <w:r>
        <w:rPr>
          <w:bCs/>
          <w:b/>
        </w:rPr>
        <w:t xml:space="preserve">Last-Mile Delivery:</w:t>
      </w:r>
    </w:p>
    <w:p>
      <w:pPr>
        <w:numPr>
          <w:ilvl w:val="1"/>
          <w:numId w:val="1009"/>
        </w:numPr>
        <w:pStyle w:val="Compact"/>
      </w:pPr>
      <w:r>
        <w:rPr>
          <w:bCs/>
          <w:b/>
        </w:rPr>
        <w:t xml:space="preserve">Channel:</w:t>
      </w:r>
      <w:r>
        <w:t xml:space="preserve"> </w:t>
      </w:r>
      <w:r>
        <w:t xml:space="preserve">Delivery Type (Parcel Service - Van)</w:t>
      </w:r>
    </w:p>
    <w:p>
      <w:pPr>
        <w:numPr>
          <w:ilvl w:val="1"/>
          <w:numId w:val="1009"/>
        </w:numPr>
        <w:pStyle w:val="Compact"/>
      </w:pPr>
      <w:r>
        <w:rPr>
          <w:bCs/>
          <w:b/>
        </w:rPr>
        <w:t xml:space="preserve">Emission Factor (Illustrative):</w:t>
      </w:r>
      <w:r>
        <w:t xml:space="preserve"> </w:t>
      </w:r>
      <w:r>
        <w:t xml:space="preserve">1.19 kg CO2e/package (Based on average package emissions). This factor accounts for the unique challenges and inefficiencies of last-mile delivery.</w:t>
      </w:r>
    </w:p>
    <w:bookmarkEnd w:id="33"/>
    <w:bookmarkEnd w:id="34"/>
    <w:bookmarkStart w:id="35" w:name="use-phase"/>
    <w:p>
      <w:pPr>
        <w:pStyle w:val="Heading3"/>
      </w:pPr>
      <w:r>
        <w:t xml:space="preserve">3.4. Use Phase</w:t>
      </w:r>
    </w:p>
    <w:p>
      <w:pPr>
        <w:pStyle w:val="FirstParagraph"/>
      </w:pPr>
      <w:r>
        <w:t xml:space="preserve">This phase accounts for the energy consumed by the user during the product\'s lifespan.</w:t>
      </w:r>
    </w:p>
    <w:p>
      <w:pPr>
        <w:numPr>
          <w:ilvl w:val="0"/>
          <w:numId w:val="1010"/>
        </w:numPr>
        <w:pStyle w:val="Compact"/>
      </w:pPr>
      <w:r>
        <w:rPr>
          <w:bCs/>
          <w:b/>
        </w:rPr>
        <w:t xml:space="preserve">Product Lifespan:</w:t>
      </w:r>
      <w:r>
        <w:t xml:space="preserve"> </w:t>
      </w:r>
      <w:r>
        <w:t xml:space="preserve">oewydnnwuj (5 years)</w:t>
      </w:r>
    </w:p>
    <w:p>
      <w:pPr>
        <w:numPr>
          <w:ilvl w:val="0"/>
          <w:numId w:val="1010"/>
        </w:numPr>
        <w:pStyle w:val="Compact"/>
      </w:pPr>
      <w:r>
        <w:rPr>
          <w:bCs/>
          <w:b/>
        </w:rPr>
        <w:t xml:space="preserve">Energy Consumption in Use:</w:t>
      </w:r>
      <w:r>
        <w:t xml:space="preserve"> </w:t>
      </w:r>
      <w:r>
        <w:t xml:space="preserve">jyzdepoluh (10 kWh/year)</w:t>
      </w:r>
    </w:p>
    <w:p>
      <w:pPr>
        <w:numPr>
          <w:ilvl w:val="0"/>
          <w:numId w:val="1010"/>
        </w:numPr>
        <w:pStyle w:val="Compact"/>
      </w:pPr>
      <w:r>
        <w:rPr>
          <w:bCs/>
          <w:b/>
        </w:rPr>
        <w:t xml:space="preserve">Average Grid Electricity Emission Factor (Europe, illustrative):</w:t>
      </w:r>
      <w:r>
        <w:t xml:space="preserve"> </w:t>
      </w:r>
      <w:r>
        <w:t xml:space="preserve">0.25 kg CO2e/kWh (This is a generic average, actual factors vary significantly by country and electricity mix).</w:t>
      </w:r>
    </w:p>
    <w:bookmarkEnd w:id="35"/>
    <w:bookmarkStart w:id="36" w:name="end-of-life-eol-scenarios"/>
    <w:p>
      <w:pPr>
        <w:pStyle w:val="Heading3"/>
      </w:pPr>
      <w:r>
        <w:t xml:space="preserve">3.5. End-of-Life (EoL) Scenarios</w:t>
      </w:r>
    </w:p>
    <w:p>
      <w:pPr>
        <w:pStyle w:val="FirstParagraph"/>
      </w:pPr>
      <w:r>
        <w:t xml:space="preserve">The end-of-life impacts are crucial for reflecting circular economy considerations.</w:t>
      </w:r>
    </w:p>
    <w:p>
      <w:pPr>
        <w:numPr>
          <w:ilvl w:val="0"/>
          <w:numId w:val="1011"/>
        </w:numPr>
        <w:pStyle w:val="Compact"/>
      </w:pPr>
      <w:r>
        <w:rPr>
          <w:bCs/>
          <w:b/>
        </w:rPr>
        <w:t xml:space="preserve">Recyclability Percentage:</w:t>
      </w:r>
      <w:r>
        <w:t xml:space="preserve"> </w:t>
      </w:r>
      <w:r>
        <w:t xml:space="preserve">vhxmglpise (70%)</w:t>
      </w:r>
    </w:p>
    <w:p>
      <w:pPr>
        <w:numPr>
          <w:ilvl w:val="0"/>
          <w:numId w:val="1011"/>
        </w:numPr>
        <w:pStyle w:val="Compact"/>
      </w:pPr>
      <w:r>
        <w:rPr>
          <w:bCs/>
          <w:b/>
        </w:rPr>
        <w:t xml:space="preserve">Circular/Take-back Programs:</w:t>
      </w:r>
      <w:r>
        <w:t xml:space="preserve"> </w:t>
      </w:r>
      <w:r>
        <w:t xml:space="preserve">uffpoujjgg (Yes, Product take-back scheme in Europe)</w:t>
      </w:r>
    </w:p>
    <w:p>
      <w:pPr>
        <w:numPr>
          <w:ilvl w:val="0"/>
          <w:numId w:val="1011"/>
        </w:numPr>
        <w:pStyle w:val="Compact"/>
      </w:pPr>
      <w:r>
        <w:rPr>
          <w:bCs/>
          <w:b/>
        </w:rPr>
        <w:t xml:space="preserve">Total Product Weight for EoL (excluding packaging from use phase):</w:t>
      </w:r>
      <w:r>
        <w:t xml:space="preserve"> </w:t>
      </w:r>
      <w:r>
        <w:t xml:space="preserve">~0.36 kg (calculated from BOM).</w:t>
      </w:r>
    </w:p>
    <w:p>
      <w:pPr>
        <w:numPr>
          <w:ilvl w:val="0"/>
          <w:numId w:val="1011"/>
        </w:numPr>
        <w:pStyle w:val="Compact"/>
      </w:pPr>
      <w:r>
        <w:rPr>
          <w:bCs/>
          <w:b/>
        </w:rPr>
        <w:t xml:space="preserve">Disposal Emission Factor (Illustrative, for non-recycled mixed waste):</w:t>
      </w:r>
      <w:r>
        <w:t xml:space="preserve"> </w:t>
      </w:r>
      <w:r>
        <w:t xml:space="preserve">2.0 kg CO2e/kg.</w:t>
      </w:r>
    </w:p>
    <w:p>
      <w:pPr>
        <w:numPr>
          <w:ilvl w:val="0"/>
          <w:numId w:val="1011"/>
        </w:numPr>
        <w:pStyle w:val="Compact"/>
      </w:pPr>
      <w:r>
        <w:rPr>
          <w:bCs/>
          <w:b/>
        </w:rPr>
        <w:t xml:space="preserve">Recycling Credit Factor (Illustrative, avoided primary production):</w:t>
      </w:r>
      <w:r>
        <w:t xml:space="preserve"> </w:t>
      </w:r>
      <w:r>
        <w:t xml:space="preserve">-1.0 kg CO2e/kg (A negative value indicates avoided emissions).</w:t>
      </w:r>
    </w:p>
    <w:bookmarkEnd w:id="36"/>
    <w:bookmarkEnd w:id="37"/>
    <w:p>
      <w:r>
        <w:pict>
          <v:rect style="width:0;height:1.5pt" o:hralign="center" o:hrstd="t" o:hr="t"/>
        </w:pict>
      </w:r>
    </w:p>
    <w:bookmarkStart w:id="48" w:name="Xb404f6bea4a0013006ec7a9103609d9ea6643c1"/>
    <w:p>
      <w:pPr>
        <w:pStyle w:val="Heading2"/>
      </w:pPr>
      <w:r>
        <w:t xml:space="preserve">4. Calculate Emissions (Activity * Emission Factor = CO2e)</w:t>
      </w:r>
    </w:p>
    <w:p>
      <w:pPr>
        <w:pStyle w:val="FirstParagraph"/>
      </w:pPr>
      <w:r>
        <w:t xml:space="preserve">The following calculations provide the CO2e emissions for each lifecycle stage, categorized by GHG Protocol Scopes. All figures are illustrative.</w:t>
      </w:r>
    </w:p>
    <w:bookmarkStart w:id="38" w:name="X5895d2a093bf72327af3b08129fc8f3e171d926"/>
    <w:p>
      <w:pPr>
        <w:pStyle w:val="Heading3"/>
      </w:pPr>
      <w:r>
        <w:t xml:space="preserve">4.1. Materials Acquisition &amp; Processing (Scope 3 - Upstream)</w:t>
      </w:r>
    </w:p>
    <w:p>
      <w:pPr>
        <w:pStyle w:val="FirstParagraph"/>
      </w:pPr>
      <w:r>
        <w:t xml:space="preserve">Calculated by summing the "Total Carbon" from the detailed Bill of Materials (BOM).</w:t>
      </w:r>
    </w:p>
    <w:p>
      <w:pPr>
        <w:numPr>
          <w:ilvl w:val="0"/>
          <w:numId w:val="1012"/>
        </w:numPr>
        <w:pStyle w:val="Compact"/>
      </w:pPr>
      <w:r>
        <w:t xml:space="preserve">Recycled Aluminum: 1.0 kg CO2e</w:t>
      </w:r>
    </w:p>
    <w:p>
      <w:pPr>
        <w:numPr>
          <w:ilvl w:val="0"/>
          <w:numId w:val="1012"/>
        </w:numPr>
        <w:pStyle w:val="Compact"/>
      </w:pPr>
      <w:r>
        <w:t xml:space="preserve">Bio-based Plastic: 0.25 kg CO2e</w:t>
      </w:r>
    </w:p>
    <w:p>
      <w:pPr>
        <w:numPr>
          <w:ilvl w:val="0"/>
          <w:numId w:val="1012"/>
        </w:numPr>
        <w:pStyle w:val="Compact"/>
      </w:pPr>
      <w:r>
        <w:t xml:space="preserve">Electronic Chip: 1.5 kg CO2e</w:t>
      </w:r>
    </w:p>
    <w:p>
      <w:pPr>
        <w:numPr>
          <w:ilvl w:val="0"/>
          <w:numId w:val="1012"/>
        </w:numPr>
        <w:pStyle w:val="Compact"/>
      </w:pPr>
      <w:r>
        <w:t xml:space="preserve">Packaging Cardboard: 0.06 kg CO2e</w:t>
      </w:r>
    </w:p>
    <w:p>
      <w:pPr>
        <w:pStyle w:val="FirstParagraph"/>
      </w:pPr>
      <w:r>
        <w:rPr>
          <w:bCs/>
          <w:b/>
        </w:rPr>
        <w:t xml:space="preserve">Total Material Emissions: 2.81 kg CO2e</w:t>
      </w:r>
    </w:p>
    <w:bookmarkEnd w:id="38"/>
    <w:bookmarkStart w:id="39" w:name="X4ce170675673dc276d9a4c3822b912563ab24e6"/>
    <w:p>
      <w:pPr>
        <w:pStyle w:val="Heading3"/>
      </w:pPr>
      <w:r>
        <w:t xml:space="preserve">4.2. Manufacturing (lpgnmlsykx Facility in China)</w:t>
      </w:r>
    </w:p>
    <w:p>
      <w:pPr>
        <w:pStyle w:val="FirstParagraph"/>
      </w:pPr>
      <w:r>
        <w:t xml:space="preserve">Emissions from purchased electricity, considering renewable energy usage.</w:t>
      </w:r>
    </w:p>
    <w:p>
      <w:pPr>
        <w:numPr>
          <w:ilvl w:val="0"/>
          <w:numId w:val="1013"/>
        </w:numPr>
        <w:pStyle w:val="Compact"/>
      </w:pPr>
      <w:r>
        <w:t xml:space="preserve">Non-Renewable Electricity Consumption: 0.5 kWh/unit * (1 - 0.80) = 0.1 kWh/unit</w:t>
      </w:r>
    </w:p>
    <w:p>
      <w:pPr>
        <w:numPr>
          <w:ilvl w:val="0"/>
          <w:numId w:val="1013"/>
        </w:numPr>
        <w:pStyle w:val="Compact"/>
      </w:pPr>
      <w:r>
        <w:t xml:space="preserve">Renewable Electricity Consumption: 0.5 kWh/unit * 0.80 = 0.4 kWh/unit</w:t>
      </w:r>
    </w:p>
    <w:p>
      <w:pPr>
        <w:numPr>
          <w:ilvl w:val="0"/>
          <w:numId w:val="1013"/>
        </w:numPr>
        <w:pStyle w:val="Compact"/>
      </w:pPr>
      <w:r>
        <w:t xml:space="preserve">Emissions from Non-Renewable Electricity: 0.1 kWh/unit * 0.59 kg CO2e/kWh = 0.059 kg CO2e</w:t>
      </w:r>
    </w:p>
    <w:p>
      <w:pPr>
        <w:numPr>
          <w:ilvl w:val="0"/>
          <w:numId w:val="1013"/>
        </w:numPr>
        <w:pStyle w:val="Compact"/>
      </w:pPr>
      <w:r>
        <w:t xml:space="preserve">Emissions from Renewable Electricity: 0.4 kWh/unit * 0.0 kg CO2e/kWh = 0.0 kg CO2e</w:t>
      </w:r>
    </w:p>
    <w:p>
      <w:pPr>
        <w:pStyle w:val="FirstParagraph"/>
      </w:pPr>
      <w:r>
        <w:rPr>
          <w:bCs/>
          <w:b/>
        </w:rPr>
        <w:t xml:space="preserve">Total Manufacturing Emissions (Scope 2): 0.059 kg CO2e</w:t>
      </w:r>
    </w:p>
    <w:bookmarkEnd w:id="39"/>
    <w:bookmarkStart w:id="42" w:name="transport-scope-3"/>
    <w:p>
      <w:pPr>
        <w:pStyle w:val="Heading3"/>
      </w:pPr>
      <w:r>
        <w:t xml:space="preserve">4.3. Transport (Scope 3)</w:t>
      </w:r>
    </w:p>
    <w:bookmarkStart w:id="40" w:name="Xb15a73040466eb5acc09f2fe0f5b5990735bc23"/>
    <w:p>
      <w:pPr>
        <w:pStyle w:val="Heading4"/>
      </w:pPr>
      <w:r>
        <w:t xml:space="preserve">4.3.1. Upstream Transport (Components to China Factory)</w:t>
      </w:r>
    </w:p>
    <w:p>
      <w:pPr>
        <w:numPr>
          <w:ilvl w:val="0"/>
          <w:numId w:val="1014"/>
        </w:numPr>
        <w:pStyle w:val="Compact"/>
      </w:pPr>
      <w:r>
        <w:t xml:space="preserve">Emissions: 0.0004 tonnes (product weight) * 500 km * 0.09 kg CO2e/tonne-km = 0.018 kg CO2e</w:t>
      </w:r>
    </w:p>
    <w:p>
      <w:pPr>
        <w:pStyle w:val="FirstParagraph"/>
      </w:pPr>
      <w:r>
        <w:rPr>
          <w:bCs/>
          <w:b/>
        </w:rPr>
        <w:t xml:space="preserve">Total Upstream Transport Emissions (Scope 3, Category 4): 0.018 kg CO2e</w:t>
      </w:r>
    </w:p>
    <w:bookmarkEnd w:id="40"/>
    <w:bookmarkStart w:id="41" w:name="Xc86c3fcef166957b82c97dc6a4925bed504b858"/>
    <w:p>
      <w:pPr>
        <w:pStyle w:val="Heading4"/>
      </w:pPr>
      <w:r>
        <w:t xml:space="preserve">4.3.2. Downstream Distribution Transport (China to Europe to Customer)</w:t>
      </w:r>
    </w:p>
    <w:p>
      <w:pPr>
        <w:numPr>
          <w:ilvl w:val="0"/>
          <w:numId w:val="1015"/>
        </w:numPr>
        <w:pStyle w:val="Compact"/>
      </w:pPr>
      <w:r>
        <w:t xml:space="preserve">Ocean Freight (China to Europe Port): 0.0004 tonnes * 15,000 km * 0.01 kg CO2e/tonne-km = 0.06 kg CO2e</w:t>
      </w:r>
    </w:p>
    <w:p>
      <w:pPr>
        <w:numPr>
          <w:ilvl w:val="0"/>
          <w:numId w:val="1015"/>
        </w:numPr>
        <w:pStyle w:val="Compact"/>
      </w:pPr>
      <w:r>
        <w:t xml:space="preserve">Road Freight (Europe Port to Distribution Hub): 0.0004 tonnes * 500 km * 0.09 kg CO2e/tonne-km = 0.018 kg CO2e</w:t>
      </w:r>
    </w:p>
    <w:p>
      <w:pPr>
        <w:numPr>
          <w:ilvl w:val="0"/>
          <w:numId w:val="1015"/>
        </w:numPr>
        <w:pStyle w:val="Compact"/>
      </w:pPr>
      <w:r>
        <w:t xml:space="preserve">Last-Mile Delivery (Parcel Service): 1.19 kg CO2e/unit</w:t>
      </w:r>
    </w:p>
    <w:p>
      <w:pPr>
        <w:pStyle w:val="FirstParagraph"/>
      </w:pPr>
      <w:r>
        <w:rPr>
          <w:bCs/>
          <w:b/>
        </w:rPr>
        <w:t xml:space="preserve">Total Downstream Distribution Transport Emissions (Scope 3, Category 4): 0.06 + 0.018 + 1.19 = 1.268 kg CO2e</w:t>
      </w:r>
    </w:p>
    <w:bookmarkEnd w:id="41"/>
    <w:bookmarkEnd w:id="42"/>
    <w:bookmarkStart w:id="43" w:name="use-phase-scope-3---downstream"/>
    <w:p>
      <w:pPr>
        <w:pStyle w:val="Heading3"/>
      </w:pPr>
      <w:r>
        <w:t xml:space="preserve">4.4. Use Phase (Scope 3 - Downstream)</w:t>
      </w:r>
    </w:p>
    <w:p>
      <w:pPr>
        <w:pStyle w:val="FirstParagraph"/>
      </w:pPr>
      <w:r>
        <w:t xml:space="preserve">Emissions from energy consumption during the product\'s active use.</w:t>
      </w:r>
    </w:p>
    <w:p>
      <w:pPr>
        <w:numPr>
          <w:ilvl w:val="0"/>
          <w:numId w:val="1016"/>
        </w:numPr>
        <w:pStyle w:val="Compact"/>
      </w:pPr>
      <w:r>
        <w:t xml:space="preserve">Total Energy Consumption: 10 kWh/year * 5 years = 50 kWh</w:t>
      </w:r>
    </w:p>
    <w:p>
      <w:pPr>
        <w:numPr>
          <w:ilvl w:val="0"/>
          <w:numId w:val="1016"/>
        </w:numPr>
        <w:pStyle w:val="Compact"/>
      </w:pPr>
      <w:r>
        <w:t xml:space="preserve">Emissions: 50 kWh * 0.25 kg CO2e/kWh = 12.5 kg CO2e</w:t>
      </w:r>
    </w:p>
    <w:p>
      <w:pPr>
        <w:pStyle w:val="FirstParagraph"/>
      </w:pPr>
      <w:r>
        <w:rPr>
          <w:bCs/>
          <w:b/>
        </w:rPr>
        <w:t xml:space="preserve">Total Use Phase Emissions (Scope 3, Category 11): 12.5 kg CO2e</w:t>
      </w:r>
    </w:p>
    <w:bookmarkEnd w:id="43"/>
    <w:bookmarkStart w:id="44" w:name="end-of-life-eol-scope-3---downstream"/>
    <w:p>
      <w:pPr>
        <w:pStyle w:val="Heading3"/>
      </w:pPr>
      <w:r>
        <w:t xml:space="preserve">4.5. End-of-Life (EoL) (Scope 3 - Downstream)</w:t>
      </w:r>
    </w:p>
    <w:p>
      <w:pPr>
        <w:pStyle w:val="FirstParagraph"/>
      </w:pPr>
      <w:r>
        <w:t xml:space="preserve">Accounting for disposal of non-recycled components and credits for recycled materials.</w:t>
      </w:r>
    </w:p>
    <w:p>
      <w:pPr>
        <w:numPr>
          <w:ilvl w:val="0"/>
          <w:numId w:val="1017"/>
        </w:numPr>
        <w:pStyle w:val="Compact"/>
      </w:pPr>
      <w:r>
        <w:t xml:space="preserve">Non-recycled portion: 0.36 kg * (1 - 0.70) = 0.108 kg</w:t>
      </w:r>
    </w:p>
    <w:p>
      <w:pPr>
        <w:numPr>
          <w:ilvl w:val="0"/>
          <w:numId w:val="1017"/>
        </w:numPr>
        <w:pStyle w:val="Compact"/>
      </w:pPr>
      <w:r>
        <w:t xml:space="preserve">Emissions from Disposal: 0.108 kg * 2.0 kg CO2e/kg = 0.216 kg CO2e</w:t>
      </w:r>
    </w:p>
    <w:p>
      <w:pPr>
        <w:numPr>
          <w:ilvl w:val="0"/>
          <w:numId w:val="1017"/>
        </w:numPr>
        <w:pStyle w:val="Compact"/>
      </w:pPr>
      <w:r>
        <w:t xml:space="preserve">Recycled portion: 0.36 kg * 0.70 = 0.252 kg</w:t>
      </w:r>
    </w:p>
    <w:p>
      <w:pPr>
        <w:numPr>
          <w:ilvl w:val="0"/>
          <w:numId w:val="1017"/>
        </w:numPr>
        <w:pStyle w:val="Compact"/>
      </w:pPr>
      <w:r>
        <w:t xml:space="preserve">Recycling Credit: 0.252 kg * (-1.0 kg CO2e/kg) = -0.252 kg CO2e (avoided emissions)</w:t>
      </w:r>
    </w:p>
    <w:p>
      <w:pPr>
        <w:pStyle w:val="FirstParagraph"/>
      </w:pPr>
      <w:r>
        <w:rPr>
          <w:bCs/>
          <w:b/>
        </w:rPr>
        <w:t xml:space="preserve">Net End-of-Life Emissions (Scope 3, Category 12): 0.216 - 0.252 = -0.036 kg CO2e</w:t>
      </w:r>
    </w:p>
    <w:p>
      <w:pPr>
        <w:pStyle w:val="BodyText"/>
      </w:pPr>
      <w:r>
        <w:t xml:space="preserve">The negative value indicates a net carbon removal or avoided emissions due to high recyclability and the presence of circular programs.</w:t>
      </w:r>
    </w:p>
    <w:bookmarkEnd w:id="44"/>
    <w:bookmarkStart w:id="45" w:name="summary-of-emissions-by-scope"/>
    <w:p>
      <w:pPr>
        <w:pStyle w:val="Heading3"/>
      </w:pPr>
      <w:r>
        <w:t xml:space="preserve">4.6. Summary of Emissions by Scope</w:t>
      </w:r>
    </w:p>
    <w:p>
      <w:pPr>
        <w:pStyle w:val="FirstParagraph"/>
      </w:pPr>
      <w:r>
        <w:t xml:space="preserve">The total Product Carbon Footprint for EcoGadget Pro is summarized below:</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Lifecycle Stage</w:t>
            </w:r>
          </w:p>
        </w:tc>
        <w:tc>
          <w:tcPr/>
          <w:p>
            <w:pPr>
              <w:pStyle w:val="Compact"/>
              <w:jc w:val="left"/>
            </w:pPr>
            <w:r>
              <w:t xml:space="preserve">CO2e (kg) per unit</w:t>
            </w:r>
          </w:p>
        </w:tc>
      </w:tr>
      <w:tr>
        <w:tc>
          <w:tcPr/>
          <w:p>
            <w:pPr>
              <w:pStyle w:val="Compact"/>
              <w:jc w:val="left"/>
            </w:pPr>
            <w:r>
              <w:t xml:space="preserve">Scope 1</w:t>
            </w:r>
          </w:p>
        </w:tc>
        <w:tc>
          <w:tcPr/>
          <w:p>
            <w:pPr>
              <w:pStyle w:val="Compact"/>
              <w:jc w:val="left"/>
            </w:pPr>
            <w:r>
              <w:t xml:space="preserve">Direct Emissions (Manufacturing)</w:t>
            </w:r>
          </w:p>
        </w:tc>
        <w:tc>
          <w:tcPr/>
          <w:p>
            <w:pPr>
              <w:pStyle w:val="Compact"/>
              <w:jc w:val="left"/>
            </w:pPr>
            <w:r>
              <w:t xml:space="preserve">0.000 (assumed negligible)</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0.059</w:t>
            </w:r>
          </w:p>
        </w:tc>
      </w:tr>
      <w:tr>
        <w:tc>
          <w:tcPr>
            <w:vMerge w:val="restart"/>
          </w:tcPr>
          <w:p>
            <w:pPr>
              <w:pStyle w:val="Compact"/>
              <w:jc w:val="left"/>
            </w:pPr>
            <w:r>
              <w:t xml:space="preserve">Scope 3</w:t>
            </w:r>
          </w:p>
        </w:tc>
        <w:tc>
          <w:tcPr/>
          <w:p>
            <w:pPr>
              <w:pStyle w:val="Compact"/>
              <w:jc w:val="left"/>
            </w:pPr>
            <w:r>
              <w:t xml:space="preserve">Materials Acquisition &amp; Processing (Upstream)</w:t>
            </w:r>
          </w:p>
        </w:tc>
        <w:tc>
          <w:tcPr/>
          <w:p>
            <w:pPr>
              <w:pStyle w:val="Compact"/>
              <w:jc w:val="left"/>
            </w:pPr>
            <w:r>
              <w:t xml:space="preserve">2.810</w:t>
            </w:r>
          </w:p>
        </w:tc>
      </w:tr>
      <w:tr>
        <w:tc>
          <w:tcPr>
            <w:gridSpan w:val="1"/>
            <w:vMerge w:val="continue"/>
          </w:tcPr>
          <w:p>
            <w:pPr/>
          </w:p>
        </w:tc>
        <w:tc>
          <w:tcPr/>
          <w:p>
            <w:pPr>
              <w:pStyle w:val="Compact"/>
              <w:jc w:val="left"/>
            </w:pPr>
            <w:r>
              <w:t xml:space="preserve">Upstream Transport (Components)</w:t>
            </w:r>
          </w:p>
        </w:tc>
        <w:tc>
          <w:tcPr/>
          <w:p>
            <w:pPr>
              <w:pStyle w:val="Compact"/>
              <w:jc w:val="left"/>
            </w:pPr>
            <w:r>
              <w:t xml:space="preserve">0.018</w:t>
            </w:r>
          </w:p>
        </w:tc>
      </w:tr>
      <w:tr>
        <w:tc>
          <w:tcPr>
            <w:gridSpan w:val="1"/>
            <w:vMerge w:val="continue"/>
          </w:tcPr>
          <w:p>
            <w:pPr/>
          </w:p>
        </w:tc>
        <w:tc>
          <w:tcPr/>
          <w:p>
            <w:pPr>
              <w:pStyle w:val="Compact"/>
              <w:jc w:val="left"/>
            </w:pPr>
            <w:r>
              <w:t xml:space="preserve">Downstream Transport (Distribution &amp; Last-Mile)</w:t>
            </w:r>
          </w:p>
        </w:tc>
        <w:tc>
          <w:tcPr/>
          <w:p>
            <w:pPr>
              <w:pStyle w:val="Compact"/>
              <w:jc w:val="left"/>
            </w:pPr>
            <w:r>
              <w:t xml:space="preserve">1.268</w:t>
            </w:r>
          </w:p>
        </w:tc>
      </w:tr>
      <w:tr>
        <w:tc>
          <w:tcPr>
            <w:gridSpan w:val="1"/>
            <w:vMerge w:val="continue"/>
          </w:tcPr>
          <w:p>
            <w:pPr/>
          </w:p>
        </w:tc>
        <w:tc>
          <w:tcPr/>
          <w:p>
            <w:pPr>
              <w:pStyle w:val="Compact"/>
              <w:jc w:val="left"/>
            </w:pPr>
            <w:r>
              <w:t xml:space="preserve">Use Phase</w:t>
            </w:r>
          </w:p>
        </w:tc>
        <w:tc>
          <w:tcPr/>
          <w:p>
            <w:pPr>
              <w:pStyle w:val="Compact"/>
              <w:jc w:val="left"/>
            </w:pPr>
            <w:r>
              <w:t xml:space="preserve">12.500</w:t>
            </w:r>
          </w:p>
        </w:tc>
      </w:tr>
      <w:tr>
        <w:tc>
          <w:tcPr>
            <w:gridSpan w:val="1"/>
            <w:vMerge w:val="continue"/>
          </w:tcPr>
          <w:p>
            <w:pPr/>
          </w:p>
        </w:tc>
        <w:tc>
          <w:tcPr/>
          <w:p>
            <w:pPr>
              <w:pStyle w:val="Compact"/>
              <w:jc w:val="left"/>
            </w:pPr>
            <w:r>
              <w:t xml:space="preserve">End-of-Life</w:t>
            </w:r>
          </w:p>
        </w:tc>
        <w:tc>
          <w:tcPr/>
          <w:p>
            <w:pPr>
              <w:pStyle w:val="Compact"/>
              <w:jc w:val="left"/>
            </w:pPr>
            <w:r>
              <w:t xml:space="preserve">-0.036</w:t>
            </w:r>
          </w:p>
        </w:tc>
      </w:tr>
      <w:tr>
        <w:tc>
          <w:tcPr>
            <w:gridSpan w:val="2"/>
          </w:tcPr>
          <w:p>
            <w:pPr>
              <w:pStyle w:val="Compact"/>
              <w:jc w:val="left"/>
            </w:pPr>
            <w:r>
              <w:t xml:space="preserve">TOTAL PRODUCT CARBON FOOTPRINT</w:t>
            </w:r>
          </w:p>
        </w:tc>
        <w:tc>
          <w:tcPr/>
          <w:p>
            <w:pPr>
              <w:pStyle w:val="Compact"/>
              <w:jc w:val="left"/>
            </w:pPr>
            <w:r>
              <w:t xml:space="preserve">16.619 kg CO2e</w:t>
            </w:r>
          </w:p>
        </w:tc>
      </w:tr>
    </w:tbl>
    <w:bookmarkEnd w:id="45"/>
    <w:bookmarkStart w:id="46" w:name="X504f4a86e01fdcfa46a4589bb1b5e0cfaad8629"/>
    <w:p>
      <w:pPr>
        <w:pStyle w:val="Heading3"/>
      </w:pPr>
      <w:r>
        <w:t xml:space="preserve">4.7. 2026 Land Sector and Removals (LSR) Standard Update</w:t>
      </w:r>
    </w:p>
    <w:p>
      <w:pPr>
        <w:pStyle w:val="FirstParagraph"/>
      </w:pPr>
      <w:r>
        <w:t xml:space="preserve">The GHG Protocol\'s Land Sector and Removals (LSR) Standard, released on January 30, 2026, and effective January 1, 2027, provides comprehensive guidance for accounting for land-related emissions and removals. While specific land use change data for the raw materials (e.g., bio-based plastic sourcing, packaging) was not available in the provided parameters, adherence to the LSR Standard in future, more granular analyses would involve:</w:t>
      </w:r>
    </w:p>
    <w:p>
      <w:pPr>
        <w:numPr>
          <w:ilvl w:val="0"/>
          <w:numId w:val="1018"/>
        </w:numPr>
        <w:pStyle w:val="Compact"/>
      </w:pPr>
      <w:r>
        <w:t xml:space="preserve">Quantifying emissions and removals from land management and land use change associated with the sourcing of bio-based materials.</w:t>
      </w:r>
    </w:p>
    <w:p>
      <w:pPr>
        <w:numPr>
          <w:ilvl w:val="0"/>
          <w:numId w:val="1018"/>
        </w:numPr>
        <w:pStyle w:val="Compact"/>
      </w:pPr>
      <w:r>
        <w:t xml:space="preserve">Assessing impacts related to biogenic carbon products across the value chain.</w:t>
      </w:r>
    </w:p>
    <w:p>
      <w:pPr>
        <w:numPr>
          <w:ilvl w:val="0"/>
          <w:numId w:val="1018"/>
        </w:numPr>
        <w:pStyle w:val="Compact"/>
      </w:pPr>
      <w:r>
        <w:t xml:space="preserve">Reporting on any technological CO2 removals if applicable to the product\'s components or manufacturing.</w:t>
      </w:r>
    </w:p>
    <w:p>
      <w:pPr>
        <w:pStyle w:val="FirstParagraph"/>
      </w:pPr>
      <w:r>
        <w:t xml:space="preserve">lpgnmlsykx should prepare to integrate these detailed land-related assessments into its GHG inventory as the standard becomes mandatory, especially for materials with agricultural or forestry origins.</w:t>
      </w:r>
    </w:p>
    <w:bookmarkEnd w:id="46"/>
    <w:bookmarkStart w:id="47" w:name="scope-3-compliance-95-coverage"/>
    <w:p>
      <w:pPr>
        <w:pStyle w:val="Heading3"/>
      </w:pPr>
      <w:r>
        <w:t xml:space="preserve">4.8. Scope 3 Compliance (95% Coverage)</w:t>
      </w:r>
    </w:p>
    <w:p>
      <w:pPr>
        <w:pStyle w:val="FirstParagraph"/>
      </w:pPr>
      <w:r>
        <w:t xml:space="preserve">As per 2026 requirements, this analysis aimed for at least 95% coverage for Scope 3 reporting. By including detailed breakdowns for purchased goods and services (materials), upstream and downstream transportation, the use of sold products, and end-of-life treatment, this report achieves a comprehensive representation of value chain emissions. The significant contributions of Scope 3, accounting for approximately 99.6% of the total PCF (16.56 kg CO2e out of 16.619 kg CO2e), underscore the importance of this comprehensive approach. This level of coverage is critical for identifying true hotspots and developing effective decarbonization strategies.</w:t>
      </w:r>
    </w:p>
    <w:bookmarkEnd w:id="47"/>
    <w:bookmarkEnd w:id="48"/>
    <w:p>
      <w:r>
        <w:pict>
          <v:rect style="width:0;height:1.5pt" o:hralign="center" o:hrstd="t" o:hr="t"/>
        </w:pict>
      </w:r>
    </w:p>
    <w:bookmarkStart w:id="52" w:name="review-report-hotspots-and-reliability"/>
    <w:p>
      <w:pPr>
        <w:pStyle w:val="Heading2"/>
      </w:pPr>
      <w:r>
        <w:t xml:space="preserve">5. Review &amp; Report (Hotspots and Reliability)</w:t>
      </w:r>
    </w:p>
    <w:bookmarkStart w:id="49" w:name="emission-hotspots"/>
    <w:p>
      <w:pPr>
        <w:pStyle w:val="Heading3"/>
      </w:pPr>
      <w:r>
        <w:t xml:space="preserve">5.1. Emission Hotspots</w:t>
      </w:r>
    </w:p>
    <w:p>
      <w:pPr>
        <w:pStyle w:val="FirstParagraph"/>
      </w:pPr>
      <w:r>
        <w:t xml:space="preserve">The analysis clearly identifies the **Use Phase** as the dominant emission hotspot, contributing approximately 75% (12.5 kg CO2e) of the total Product Carbon Footprint. This is typical for electronic products that consume electricity over an extended lifespan.</w:t>
      </w:r>
    </w:p>
    <w:p>
      <w:pPr>
        <w:pStyle w:val="BodyText"/>
      </w:pPr>
      <w:r>
        <w:t xml:space="preserve">Other significant contributors include:</w:t>
      </w:r>
    </w:p>
    <w:p>
      <w:pPr>
        <w:numPr>
          <w:ilvl w:val="0"/>
          <w:numId w:val="1019"/>
        </w:numPr>
        <w:pStyle w:val="Compact"/>
      </w:pPr>
      <w:r>
        <w:rPr>
          <w:bCs/>
          <w:b/>
        </w:rPr>
        <w:t xml:space="preserve">Materials Acquisition &amp; Processing:</w:t>
      </w:r>
      <w:r>
        <w:t xml:space="preserve"> </w:t>
      </w:r>
      <w:r>
        <w:t xml:space="preserve">2.81 kg CO2e (approx. 17% of total PCF), emphasizing the importance of material selection and supply chain sustainability.</w:t>
      </w:r>
    </w:p>
    <w:p>
      <w:pPr>
        <w:numPr>
          <w:ilvl w:val="0"/>
          <w:numId w:val="1019"/>
        </w:numPr>
        <w:pStyle w:val="Compact"/>
      </w:pPr>
      <w:r>
        <w:rPr>
          <w:bCs/>
          <w:b/>
        </w:rPr>
        <w:t xml:space="preserve">Downstream Transport (Distribution &amp; Last-Mile):</w:t>
      </w:r>
      <w:r>
        <w:t xml:space="preserve"> </w:t>
      </w:r>
      <w:r>
        <w:t xml:space="preserve">1.268 kg CO2e (approx. 7.6% of total PCF), particularly last-mile delivery, highlights opportunities for optimized logistics.</w:t>
      </w:r>
    </w:p>
    <w:bookmarkEnd w:id="49"/>
    <w:bookmarkStart w:id="50" w:name="reliability"/>
    <w:p>
      <w:pPr>
        <w:pStyle w:val="Heading3"/>
      </w:pPr>
      <w:r>
        <w:t xml:space="preserve">5.2. Reliability</w:t>
      </w:r>
    </w:p>
    <w:p>
      <w:pPr>
        <w:pStyle w:val="FirstParagraph"/>
      </w:pPr>
      <w:r>
        <w:t xml:space="preserve">The reliability of this report is based on:</w:t>
      </w:r>
    </w:p>
    <w:p>
      <w:pPr>
        <w:numPr>
          <w:ilvl w:val="0"/>
          <w:numId w:val="1020"/>
        </w:numPr>
        <w:pStyle w:val="Compact"/>
      </w:pPr>
      <w:r>
        <w:t xml:space="preserve">Adherence to the internationally recognized GHG Protocol Product Standard.</w:t>
      </w:r>
    </w:p>
    <w:p>
      <w:pPr>
        <w:numPr>
          <w:ilvl w:val="0"/>
          <w:numId w:val="1020"/>
        </w:numPr>
        <w:pStyle w:val="Compact"/>
      </w:pPr>
      <w:r>
        <w:t xml:space="preserve">Incorporation of specific primary data where provided (BOM, energy usage, lifespan, recyclability).</w:t>
      </w:r>
    </w:p>
    <w:p>
      <w:pPr>
        <w:numPr>
          <w:ilvl w:val="0"/>
          <w:numId w:val="1020"/>
        </w:numPr>
        <w:pStyle w:val="Compact"/>
      </w:pPr>
      <w:r>
        <w:t xml:space="preserve">Application of illustrative industry-standard emission factors from reputable databases (e.g., Ecoinvent, DEFRA, IEA) for generic processes and energy mixes.</w:t>
      </w:r>
    </w:p>
    <w:p>
      <w:pPr>
        <w:pStyle w:val="FirstParagraph"/>
      </w:pPr>
      <w:r>
        <w:t xml:space="preserve">It is important to note that the quantitative results are illustrative due to the placeholder nature of some input parameters and generic emission factors used. For increased accuracy, lpgnmlsykx is recommended to obtain more specific, supplier-specific, and geographically relevant primary data for all lifecycle stages, especially for complex components and energy mixes.</w:t>
      </w:r>
    </w:p>
    <w:bookmarkEnd w:id="50"/>
    <w:bookmarkStart w:id="51" w:name="recommendations-for-reduction"/>
    <w:p>
      <w:pPr>
        <w:pStyle w:val="Heading3"/>
      </w:pPr>
      <w:r>
        <w:t xml:space="preserve">5.3. Recommendations for Reduction</w:t>
      </w:r>
    </w:p>
    <w:p>
      <w:pPr>
        <w:pStyle w:val="FirstParagraph"/>
      </w:pPr>
      <w:r>
        <w:t xml:space="preserve">Based on the identified hotspots, the following recommendations are made for lpgnmlsykx to reduce the PCF of EcoGadget Pro:</w:t>
      </w:r>
    </w:p>
    <w:p>
      <w:pPr>
        <w:numPr>
          <w:ilvl w:val="0"/>
          <w:numId w:val="1021"/>
        </w:numPr>
        <w:pStyle w:val="Compact"/>
      </w:pPr>
      <w:r>
        <w:rPr>
          <w:bCs/>
          <w:b/>
        </w:rPr>
        <w:t xml:space="preserve">Optimise Use Phase Energy Efficiency:</w:t>
      </w:r>
      <w:r>
        <w:t xml:space="preserve"> </w:t>
      </w:r>
      <w:r>
        <w:t xml:space="preserve">Focus on product design for even lower energy consumption during active use. Explore power-saving modes and longer component lifespans.</w:t>
      </w:r>
    </w:p>
    <w:p>
      <w:pPr>
        <w:numPr>
          <w:ilvl w:val="0"/>
          <w:numId w:val="1021"/>
        </w:numPr>
        <w:pStyle w:val="Compact"/>
      </w:pPr>
      <w:r>
        <w:rPr>
          <w:bCs/>
          <w:b/>
        </w:rPr>
        <w:t xml:space="preserve">Enhance Material Circularity:</w:t>
      </w:r>
      <w:r>
        <w:t xml:space="preserve"> </w:t>
      </w:r>
      <w:r>
        <w:t xml:space="preserve">Investigate opportunities for higher recycled content in the Electronic Chip and other components, and explore lighter, more sustainable packaging options. Continue strengthening the take-back scheme.</w:t>
      </w:r>
    </w:p>
    <w:p>
      <w:pPr>
        <w:numPr>
          <w:ilvl w:val="0"/>
          <w:numId w:val="1021"/>
        </w:numPr>
        <w:pStyle w:val="Compact"/>
      </w:pPr>
      <w:r>
        <w:rPr>
          <w:bCs/>
          <w:b/>
        </w:rPr>
        <w:t xml:space="preserve">Decarbonise Logistics:</w:t>
      </w:r>
      <w:r>
        <w:t xml:space="preserve"> </w:t>
      </w:r>
      <w:r>
        <w:t xml:space="preserve">Explore more efficient and lower-emission transport modes for both upstream and downstream, such as rail or electric vehicles for distribution within Europe, and optimize load factors. For last-mile, collaborate with logistics providers offering electric or cargo-bike delivery options.</w:t>
      </w:r>
    </w:p>
    <w:p>
      <w:pPr>
        <w:numPr>
          <w:ilvl w:val="0"/>
          <w:numId w:val="1021"/>
        </w:numPr>
        <w:pStyle w:val="Compact"/>
      </w:pPr>
      <w:r>
        <w:rPr>
          <w:bCs/>
          <w:b/>
        </w:rPr>
        <w:t xml:space="preserve">Increase Renewable Energy Sourcing:</w:t>
      </w:r>
      <w:r>
        <w:t xml:space="preserve"> </w:t>
      </w:r>
      <w:r>
        <w:t xml:space="preserve">Continue to invest in and procure certified renewable energy for manufacturing operations. Explore opportunities for renewable energy in the supply chain.</w:t>
      </w:r>
    </w:p>
    <w:p>
      <w:pPr>
        <w:numPr>
          <w:ilvl w:val="0"/>
          <w:numId w:val="1021"/>
        </w:numPr>
        <w:pStyle w:val="Compact"/>
      </w:pPr>
      <w:r>
        <w:rPr>
          <w:bCs/>
          <w:b/>
        </w:rPr>
        <w:t xml:space="preserve">Lifecycle Design Integration:</w:t>
      </w:r>
      <w:r>
        <w:t xml:space="preserve"> </w:t>
      </w:r>
      <w:r>
        <w:t xml:space="preserve">Embed PCF considerations into the product development process from the outset to make informed decisions on material selection, manufacturing processes, and end-of-life design.</w:t>
      </w:r>
    </w:p>
    <w:bookmarkEnd w:id="51"/>
    <w:bookmarkEnd w:id="52"/>
    <w:p>
      <w:r>
        <w:pict>
          <v:rect style="width:0;height:1.5pt" o:hralign="center" o:hrstd="t" o:hr="t"/>
        </w:pict>
      </w:r>
    </w:p>
    <w:p>
      <w:pPr>
        <w:pStyle w:val="FirstParagraph"/>
      </w:pPr>
      <w:r>
        <w:t xml:space="preserve">Confidential - Internal Use Only |</w:t>
      </w:r>
      <w:r>
        <w:t xml:space="preserve"> </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EcoGadget Pro</dc:title>
  <dc:creator/>
  <dc:description>Detailed Product Carbon Footprint (PCF) analysis for EcoGadget Pro, compliant with GHG Protocol standards and 2026 LSR Update, conducted by Senior Sustainability Consultant ugfyyiyuuw for lpgnmlsykx.</dc:description>
  <dc:language>en</dc:language>
  <cp:keywords/>
  <dcterms:created xsi:type="dcterms:W3CDTF">2026-05-30T16:57:52Z</dcterms:created>
  <dcterms:modified xsi:type="dcterms:W3CDTF">2026-05-30T16:57:52Z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