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EcoGadget</w:t>
      </w:r>
      <w:r>
        <w:t xml:space="preserve"> </w:t>
      </w:r>
      <w:r>
        <w:t xml:space="preserve">3000</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EcoGadget 3000</w:t>
      </w:r>
    </w:p>
    <w:p>
      <w:pPr>
        <w:pStyle w:val="BodyText"/>
      </w:pPr>
      <w:r>
        <w:rPr>
          <w:bCs/>
          <w:b/>
        </w:rPr>
        <w:t xml:space="preserve">Company:</w:t>
      </w:r>
      <w:r>
        <w:t xml:space="preserve"> </w:t>
      </w:r>
      <w:r>
        <w:t xml:space="preserve">Innovate EcoSolutions Inc.</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Dr. Sarah Chen</w:t>
      </w:r>
    </w:p>
    <w:p>
      <w:pPr>
        <w:pStyle w:val="BodyText"/>
      </w:pPr>
      <w:r>
        <w:t xml:space="preserve">This report is generated based on available data and industry standards. While every effort has been made to ensure accuracy, the actual carbon footprint may vary depending on real-time operational specifics and evolving methodologies.</w:t>
      </w:r>
    </w:p>
    <w:bookmarkEnd w:id="20"/>
    <w:bookmarkStart w:id="21" w:name="Xc62cb1f6e57bd1d43b1a5fae43a8e2877ec5c7f"/>
    <w:p>
      <w:pPr>
        <w:pStyle w:val="Heading1"/>
      </w:pPr>
      <w:r>
        <w:t xml:space="preserve">Product Carbon Footprint (PCF) Analysis Report</w:t>
      </w:r>
    </w:p>
    <w:p>
      <w:pPr>
        <w:pStyle w:val="FirstParagraph"/>
      </w:pPr>
      <w:r>
        <w:t xml:space="preserve">Generated Date: May 23,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EcoGadget 3000, manufactured by Innovate EcoSolutions Inc. The analysis, conducted by Dr. Sarah Chen, Senior Sustainability Consultant, adheres strictly to the GHG Protocol standards, including the 2026 Land Sector and Removals (LSR) update and ensuring over 95% Scope 3 coverage. The assessment covers a Cradle-to-Grave system boundary, encompassing raw material acquisition, manufacturing, transport, use-phase energy consumption, and end-of-life scenarios. The primary goal is to identify carbon hotspots throughout the product\'s lifecycle and provide actionable insights for emission reduction.</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of the PCF analysis establishes the boundaries and parameters for the assessment of the EcoGadget 3000.</w:t>
      </w:r>
    </w:p>
    <w:p>
      <w:pPr>
        <w:numPr>
          <w:ilvl w:val="0"/>
          <w:numId w:val="1001"/>
        </w:numPr>
        <w:pStyle w:val="Compact"/>
      </w:pPr>
      <w:r>
        <w:rPr>
          <w:bCs/>
          <w:b/>
        </w:rPr>
        <w:t xml:space="preserve">Functional Unit:</w:t>
      </w:r>
      <w:r>
        <w:t xml:space="preserve"> </w:t>
      </w:r>
      <w:r>
        <w:t xml:space="preserve">The functional unit for this analysis is defined as 1.0 unit of the EcoGadget 3000, providing its intended service over its lifespan.</w:t>
      </w:r>
    </w:p>
    <w:p>
      <w:pPr>
        <w:numPr>
          <w:ilvl w:val="0"/>
          <w:numId w:val="1001"/>
        </w:numPr>
        <w:pStyle w:val="Compact"/>
      </w:pPr>
      <w:r>
        <w:rPr>
          <w:bCs/>
          <w:b/>
        </w:rPr>
        <w:t xml:space="preserve">System Boundary:</w:t>
      </w:r>
      <w:r>
        <w:t xml:space="preserve"> </w:t>
      </w:r>
      <w:r>
        <w:t xml:space="preserve">While initially defined as \'factory_gate\', this report extends to a comprehensive Cradle-to-Grave analysis to encompass all requested parameters including the Use Phase and End-of-Life. This allows for a holistic view of the product\'s environmental impact from raw material extraction through manufacturing, distribution, consumer use, and disposal or recycling.</w:t>
      </w:r>
    </w:p>
    <w:p>
      <w:pPr>
        <w:numPr>
          <w:ilvl w:val="0"/>
          <w:numId w:val="1001"/>
        </w:numPr>
        <w:pStyle w:val="Compact"/>
      </w:pPr>
      <w:r>
        <w:rPr>
          <w:bCs/>
          <w:b/>
        </w:rPr>
        <w:t xml:space="preserve">Geographic Scope:</w:t>
      </w:r>
      <w:r>
        <w:t xml:space="preserve"> </w:t>
      </w:r>
      <w:r>
        <w:t xml:space="preserve">The final production country is China. The supply chain focus is Europe-focused, implying that primary raw material sourcing and manufacturing components may originate or transit through European supply chains before final assembly in China. The Use Phase is assumed to be primarily within Europe, reflecting the supply chain focus.</w:t>
      </w:r>
    </w:p>
    <w:p>
      <w:pPr>
        <w:numPr>
          <w:ilvl w:val="0"/>
          <w:numId w:val="1001"/>
        </w:numPr>
        <w:pStyle w:val="Compact"/>
      </w:pPr>
      <w:r>
        <w:rPr>
          <w:bCs/>
          <w:b/>
        </w:rPr>
        <w:t xml:space="preserve">Accounting Standard:</w:t>
      </w:r>
      <w:r>
        <w:t xml:space="preserve"> </w:t>
      </w:r>
      <w:r>
        <w:t xml:space="preserve">This PCF analysis strictly follows the Greenhouse Gas (GHG) Protocol Product Standard. Emissions are categorized into Scope 1 (direct emissions), Scope 2 (indirect emissions from purchased energy), and Scope 3 (all other indirect emissions in the value chain, both upstream and downstream).</w:t>
      </w:r>
    </w:p>
    <w:p>
      <w:pPr>
        <w:numPr>
          <w:ilvl w:val="0"/>
          <w:numId w:val="1001"/>
        </w:numPr>
        <w:pStyle w:val="Compact"/>
      </w:pPr>
      <w:r>
        <w:rPr>
          <w:bCs/>
          <w:b/>
        </w:rPr>
        <w:t xml:space="preserve">Allocation:</w:t>
      </w:r>
      <w:r>
        <w:t xml:space="preserve"> </w:t>
      </w:r>
      <w:r>
        <w:t xml:space="preserve">Allocation of emissions has been performed based on mass for co-products where applicable, and on direct energy and material attribution to the functional unit. For shared processes, emissions are allocated proportionally to the product\'s contribution to the process output.</w:t>
      </w:r>
    </w:p>
    <w:p>
      <w:r>
        <w:pict>
          <v:rect style="width:0;height:1.5pt" o:hralign="center" o:hrstd="t" o:hr="t"/>
        </w:pict>
      </w:r>
    </w:p>
    <w:bookmarkEnd w:id="23"/>
    <w:bookmarkStart w:id="31"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lifecycle stages considered and the data collected for each, categorized by GHG Protocol scopes.</w:t>
      </w:r>
    </w:p>
    <w:bookmarkStart w:id="24" w:name="ghg-protocol-scopes-overview"/>
    <w:p>
      <w:pPr>
        <w:pStyle w:val="Heading3"/>
      </w:pPr>
      <w:r>
        <w:t xml:space="preserve">GHG Protocol Scopes Overview</w:t>
      </w:r>
    </w:p>
    <w:p>
      <w:pPr>
        <w:numPr>
          <w:ilvl w:val="0"/>
          <w:numId w:val="1002"/>
        </w:numPr>
        <w:pStyle w:val="Compact"/>
      </w:pPr>
      <w:r>
        <w:rPr>
          <w:bCs/>
          <w:b/>
        </w:rPr>
        <w:t xml:space="preserve">Scope 1: Direct Emissions</w:t>
      </w:r>
      <w:r>
        <w:t xml:space="preserve"> </w:t>
      </w:r>
      <w:r>
        <w:t xml:space="preserve">- Emissions from sources owned or controlled by Innovate EcoSolutions Inc. (e.g., on-site fuel combustion for manufacturing in China).</w:t>
      </w:r>
    </w:p>
    <w:p>
      <w:pPr>
        <w:numPr>
          <w:ilvl w:val="0"/>
          <w:numId w:val="1002"/>
        </w:numPr>
        <w:pStyle w:val="Compact"/>
      </w:pPr>
      <w:r>
        <w:rPr>
          <w:bCs/>
          <w:b/>
        </w:rPr>
        <w:t xml:space="preserve">Scope 2: Purchased Energy Emissions</w:t>
      </w:r>
      <w:r>
        <w:t xml:space="preserve"> </w:t>
      </w:r>
      <w:r>
        <w:t xml:space="preserve">- Emissions from the generation of purchased electricity, steam, heating, and cooling consumed by Innovate EcoSolutions Inc. (e.g., electricity used in the Chinese factory).</w:t>
      </w:r>
    </w:p>
    <w:p>
      <w:pPr>
        <w:numPr>
          <w:ilvl w:val="0"/>
          <w:numId w:val="1002"/>
        </w:numPr>
        <w:pStyle w:val="Compact"/>
      </w:pPr>
      <w:r>
        <w:rPr>
          <w:bCs/>
          <w:b/>
        </w:rPr>
        <w:t xml:space="preserve">Scope 3: Other Indirect Emissions</w:t>
      </w:r>
      <w:r>
        <w:t xml:space="preserve"> </w:t>
      </w:r>
      <w:r>
        <w:t xml:space="preserve">- All other indirect emissions that occur in the value chain of Innovate EcoSolutions Inc., both upstream and downstream. This includes purchased goods and services (materials), transportation, product use, and end-of-life treatment. This report ensures over 95% coverage for Scope 3 as per 2026 requirements.</w:t>
      </w:r>
    </w:p>
    <w:bookmarkEnd w:id="24"/>
    <w:bookmarkStart w:id="30" w:name="X59582b836f8487920a403bc4b39e0f0c786fc76"/>
    <w:p>
      <w:pPr>
        <w:pStyle w:val="Heading3"/>
      </w:pPr>
      <w:r>
        <w:t xml:space="preserve">Detailed Lifecycle Stages and Data Collection</w:t>
      </w:r>
    </w:p>
    <w:bookmarkStart w:id="25" w:name="Xa124a95b981c370289279a4b723120ad8e79cc2"/>
    <w:p>
      <w:pPr>
        <w:pStyle w:val="Heading4"/>
      </w:pPr>
      <w:r>
        <w:t xml:space="preserve">Materials Acquisition &amp; Pre-processing (Scope 3 - Upstream)</w:t>
      </w:r>
    </w:p>
    <w:p>
      <w:pPr>
        <w:pStyle w:val="FirstParagraph"/>
      </w:pPr>
      <w:r>
        <w:t xml:space="preserve">The Bill of Materials (BOM) for the EcoGadget 3000 (jxzkhtqtps) provides specific data for calculating the material-related emissions. The \'Total Carbon\' values provided in the BOM are directly used for material impact calculations.</w:t>
      </w:r>
    </w:p>
    <w:p>
      <w:pPr>
        <w:pStyle w:val="BodyText"/>
      </w:pPr>
      <w:r>
        <w:rPr>
          <w:bCs/>
          <w:b/>
        </w:rPr>
        <w:t xml:space="preserve">Detailed Bill of Materials (BOM) - deinjkgd: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2</w:t>
            </w:r>
          </w:p>
        </w:tc>
        <w:tc>
          <w:tcPr/>
          <w:p>
            <w:pPr>
              <w:pStyle w:val="Compact"/>
              <w:jc w:val="left"/>
            </w:pPr>
            <w:r>
              <w:t xml:space="preserve">kg</w:t>
            </w:r>
          </w:p>
        </w:tc>
        <w:tc>
          <w:tcPr/>
          <w:p>
            <w:pPr>
              <w:pStyle w:val="Compact"/>
              <w:jc w:val="left"/>
            </w:pPr>
            <w:r>
              <w:t xml:space="preserve">6.0</w:t>
            </w:r>
          </w:p>
        </w:tc>
        <w:tc>
          <w:tcPr/>
          <w:p>
            <w:pPr>
              <w:pStyle w:val="Compact"/>
              <w:jc w:val="left"/>
            </w:pPr>
            <w:r>
              <w:t xml:space="preserve">12.0</w:t>
            </w:r>
          </w:p>
        </w:tc>
      </w:tr>
      <w:tr>
        <w:tc>
          <w:tcPr/>
          <w:p>
            <w:pPr>
              <w:pStyle w:val="Compact"/>
              <w:jc w:val="left"/>
            </w:pPr>
            <w:r>
              <w:t xml:space="preserve">M002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5.5</w:t>
            </w:r>
          </w:p>
        </w:tc>
        <w:tc>
          <w:tcPr/>
          <w:p>
            <w:pPr>
              <w:pStyle w:val="Compact"/>
              <w:jc w:val="left"/>
            </w:pPr>
            <w:r>
              <w:t xml:space="preserve">5.5</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M004</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2.8</w:t>
            </w:r>
          </w:p>
        </w:tc>
        <w:tc>
          <w:tcPr/>
          <w:p>
            <w:pPr>
              <w:pStyle w:val="Compact"/>
              <w:jc w:val="left"/>
            </w:pPr>
            <w:r>
              <w:t xml:space="preserve">2.24</w:t>
            </w:r>
          </w:p>
        </w:tc>
      </w:tr>
    </w:tbl>
    <w:p>
      <w:pPr>
        <w:pStyle w:val="BodyText"/>
      </w:pPr>
      <w:r>
        <w:rPr>
          <w:bCs/>
          <w:b/>
        </w:rPr>
        <w:t xml:space="preserve">Total Material Carbon Footprint:</w:t>
      </w:r>
      <w:r>
        <w:t xml:space="preserve"> </w:t>
      </w:r>
      <w:r>
        <w:t xml:space="preserve">27.24 kgCO2e (sum of \'Total Carbon\' from BOM)</w:t>
      </w:r>
    </w:p>
    <w:p>
      <w:pPr>
        <w:pStyle w:val="BodyText"/>
      </w:pPr>
      <w:r>
        <w:rPr>
          <w:bCs/>
          <w:b/>
        </w:rPr>
        <w:t xml:space="preserve">Assumed Total Product Weight:</w:t>
      </w:r>
      <w:r>
        <w:t xml:space="preserve"> </w:t>
      </w:r>
      <w:r>
        <w:t xml:space="preserve">Approximately 3.4 kg (2kg Al + 0.1kg PCB + 0.5kg Battery + 0.8kg Plastic)</w:t>
      </w:r>
    </w:p>
    <w:bookmarkEnd w:id="25"/>
    <w:bookmarkStart w:id="26" w:name="manufacturingproduction-scope-1-2"/>
    <w:p>
      <w:pPr>
        <w:pStyle w:val="Heading4"/>
      </w:pPr>
      <w:r>
        <w:t xml:space="preserve">Manufacturing/Production (Scope 1 &amp; 2)</w:t>
      </w:r>
    </w:p>
    <w:p>
      <w:pPr>
        <w:pStyle w:val="FirstParagraph"/>
      </w:pPr>
      <w:r>
        <w:t xml:space="preserve">Production occurs in China. Energy usage and renewable energy penetration are critical factors here.</w:t>
      </w:r>
    </w:p>
    <w:p>
      <w:pPr>
        <w:numPr>
          <w:ilvl w:val="0"/>
          <w:numId w:val="1003"/>
        </w:numPr>
        <w:pStyle w:val="Compact"/>
      </w:pPr>
      <w:r>
        <w:rPr>
          <w:bCs/>
          <w:b/>
        </w:rPr>
        <w:t xml:space="preserve">Energy Intensity (kWh/unit):</w:t>
      </w:r>
      <w:r>
        <w:t xml:space="preserve"> </w:t>
      </w:r>
      <w:r>
        <w:t xml:space="preserve">1.2 kWh/unit</w:t>
      </w:r>
    </w:p>
    <w:p>
      <w:pPr>
        <w:numPr>
          <w:ilvl w:val="0"/>
          <w:numId w:val="1003"/>
        </w:numPr>
        <w:pStyle w:val="Compact"/>
      </w:pPr>
      <w:r>
        <w:rPr>
          <w:bCs/>
          <w:b/>
        </w:rPr>
        <w:t xml:space="preserve">Renewable Energy Usage:</w:t>
      </w:r>
      <w:r>
        <w:t xml:space="preserve"> </w:t>
      </w:r>
      <w:r>
        <w:t xml:space="preserve">55% renewable</w:t>
      </w:r>
    </w:p>
    <w:p>
      <w:pPr>
        <w:numPr>
          <w:ilvl w:val="0"/>
          <w:numId w:val="1003"/>
        </w:numPr>
        <w:pStyle w:val="Compact"/>
      </w:pPr>
      <w:r>
        <w:rPr>
          <w:bCs/>
          <w:b/>
        </w:rPr>
        <w:t xml:space="preserve">Assumed Grid Electricity Emission Factor (China):</w:t>
      </w:r>
      <w:r>
        <w:t xml:space="preserve"> </w:t>
      </w:r>
      <w:r>
        <w:t xml:space="preserve">0.55 kg CO2e/kWh (for non-renewable portion)</w:t>
      </w:r>
    </w:p>
    <w:p>
      <w:pPr>
        <w:numPr>
          <w:ilvl w:val="0"/>
          <w:numId w:val="1003"/>
        </w:numPr>
        <w:pStyle w:val="Compact"/>
      </w:pPr>
      <w:r>
        <w:rPr>
          <w:bCs/>
          <w:b/>
        </w:rPr>
        <w:t xml:space="preserve">Scope 1 Emissions:</w:t>
      </w:r>
      <w:r>
        <w:t xml:space="preserve"> </w:t>
      </w:r>
      <w:r>
        <w:t xml:space="preserve">Assumed to be minimal and primarily related to minor on-site combustion for heating/cooling, or covered by the general energy consumption if not explicitly separate. For this analysis, it is assumed to be negligible compared to Scope 2 and 3 impacts due to lack of specific data for direct combustion.</w:t>
      </w:r>
    </w:p>
    <w:bookmarkEnd w:id="26"/>
    <w:bookmarkStart w:id="27" w:name="Xc78fa9e95fdc5a4841e5055035e97eb6a5c3c11"/>
    <w:p>
      <w:pPr>
        <w:pStyle w:val="Heading4"/>
      </w:pPr>
      <w:r>
        <w:t xml:space="preserve">Transport &amp; Distribution (Scope 3 - Upstream &amp; Downstream)</w:t>
      </w:r>
    </w:p>
    <w:p>
      <w:pPr>
        <w:pStyle w:val="FirstParagraph"/>
      </w:pPr>
      <w:r>
        <w:t xml:space="preserve">Logistics data is incorporated for both raw material supply to the factory and distribution to market.</w:t>
      </w:r>
    </w:p>
    <w:p>
      <w:pPr>
        <w:numPr>
          <w:ilvl w:val="0"/>
          <w:numId w:val="1004"/>
        </w:numPr>
        <w:pStyle w:val="Compact"/>
      </w:pPr>
      <w:r>
        <w:rPr>
          <w:bCs/>
          <w:b/>
        </w:rPr>
        <w:t xml:space="preserve">Primary Transport Mode (Raw Materials to China):</w:t>
      </w:r>
      <w:r>
        <w:t xml:space="preserve"> </w:t>
      </w:r>
      <w:r>
        <w:t xml:space="preserve">Sea Freight (Container Ship)</w:t>
      </w:r>
    </w:p>
    <w:p>
      <w:pPr>
        <w:numPr>
          <w:ilvl w:val="0"/>
          <w:numId w:val="1004"/>
        </w:numPr>
        <w:pStyle w:val="Compact"/>
      </w:pPr>
      <w:r>
        <w:rPr>
          <w:bCs/>
          <w:b/>
        </w:rPr>
        <w:t xml:space="preserve">Primary Transport Distance (Raw Materials):</w:t>
      </w:r>
      <w:r>
        <w:t xml:space="preserve"> </w:t>
      </w:r>
      <w:r>
        <w:t xml:space="preserve">12,000 km (average for Europe to China route)</w:t>
      </w:r>
    </w:p>
    <w:p>
      <w:pPr>
        <w:numPr>
          <w:ilvl w:val="0"/>
          <w:numId w:val="1004"/>
        </w:numPr>
        <w:pStyle w:val="Compact"/>
      </w:pPr>
      <w:r>
        <w:rPr>
          <w:bCs/>
          <w:b/>
        </w:rPr>
        <w:t xml:space="preserve">Internal/Last-Mile Transport (Raw Materials in China):</w:t>
      </w:r>
      <w:r>
        <w:t xml:space="preserve"> </w:t>
      </w:r>
      <w:r>
        <w:t xml:space="preserve">Road Freight (HGV)</w:t>
      </w:r>
    </w:p>
    <w:p>
      <w:pPr>
        <w:numPr>
          <w:ilvl w:val="0"/>
          <w:numId w:val="1004"/>
        </w:numPr>
        <w:pStyle w:val="Compact"/>
      </w:pPr>
      <w:r>
        <w:rPr>
          <w:bCs/>
          <w:b/>
        </w:rPr>
        <w:t xml:space="preserve">Internal/Last-Mile Transport Distance (Raw Materials):</w:t>
      </w:r>
      <w:r>
        <w:t xml:space="preserve"> </w:t>
      </w:r>
      <w:r>
        <w:t xml:space="preserve">500 km</w:t>
      </w:r>
    </w:p>
    <w:p>
      <w:pPr>
        <w:numPr>
          <w:ilvl w:val="0"/>
          <w:numId w:val="1004"/>
        </w:numPr>
        <w:pStyle w:val="Compact"/>
      </w:pPr>
      <w:r>
        <w:rPr>
          <w:bCs/>
          <w:b/>
        </w:rPr>
        <w:t xml:space="preserve">Delivery Channel (Finished Product):</w:t>
      </w:r>
      <w:r>
        <w:t xml:space="preserve"> </w:t>
      </w:r>
      <w:r>
        <w:t xml:space="preserve">Road Freight (Less than Container Load - LCL) + Last-Mile Van Delivery</w:t>
      </w:r>
    </w:p>
    <w:p>
      <w:pPr>
        <w:numPr>
          <w:ilvl w:val="0"/>
          <w:numId w:val="1004"/>
        </w:numPr>
        <w:pStyle w:val="Compact"/>
      </w:pPr>
      <w:r>
        <w:rPr>
          <w:bCs/>
          <w:b/>
        </w:rPr>
        <w:t xml:space="preserve">Delivery Distance (Finished Product to Market - Europe):</w:t>
      </w:r>
      <w:r>
        <w:t xml:space="preserve"> </w:t>
      </w:r>
      <w:r>
        <w:t xml:space="preserve">2,000 km (Road Freight) + 100 km (Last-Mile Van)</w:t>
      </w:r>
    </w:p>
    <w:p>
      <w:pPr>
        <w:pStyle w:val="FirstParagraph"/>
      </w:pPr>
      <w:r>
        <w:rPr>
          <w:bCs/>
          <w:b/>
        </w:rPr>
        <w:t xml:space="preserve">Assumed Emission Factors for Transport:</w:t>
      </w:r>
    </w:p>
    <w:p>
      <w:pPr>
        <w:numPr>
          <w:ilvl w:val="0"/>
          <w:numId w:val="1005"/>
        </w:numPr>
        <w:pStyle w:val="Compact"/>
      </w:pPr>
      <w:r>
        <w:t xml:space="preserve">Sea Freight (Container Ship): 0.01 kg CO2e/tonne-km</w:t>
      </w:r>
    </w:p>
    <w:p>
      <w:pPr>
        <w:numPr>
          <w:ilvl w:val="0"/>
          <w:numId w:val="1005"/>
        </w:numPr>
        <w:pStyle w:val="Compact"/>
      </w:pPr>
      <w:r>
        <w:t xml:space="preserve">Road Freight (HGV, long-haul): 0.08 kg CO2e/tonne-km</w:t>
      </w:r>
    </w:p>
    <w:p>
      <w:pPr>
        <w:numPr>
          <w:ilvl w:val="0"/>
          <w:numId w:val="1005"/>
        </w:numPr>
        <w:pStyle w:val="Compact"/>
      </w:pPr>
      <w:r>
        <w:t xml:space="preserve">Last-Mile Van Delivery: 0.15 kg CO2e/km (assuming a loaded van\'s emissions, not per tonne-km)</w:t>
      </w:r>
    </w:p>
    <w:bookmarkEnd w:id="27"/>
    <w:bookmarkStart w:id="28" w:name="use-phase-scope-3---downstream"/>
    <w:p>
      <w:pPr>
        <w:pStyle w:val="Heading4"/>
      </w:pPr>
      <w:r>
        <w:t xml:space="preserve">Use Phase (Scope 3 - Downstream)</w:t>
      </w:r>
    </w:p>
    <w:p>
      <w:pPr>
        <w:pStyle w:val="FirstParagraph"/>
      </w:pPr>
      <w:r>
        <w:t xml:space="preserve">The product\'s operational lifespan and energy consumption significantly contribute to its footprint.</w:t>
      </w:r>
    </w:p>
    <w:p>
      <w:pPr>
        <w:numPr>
          <w:ilvl w:val="0"/>
          <w:numId w:val="1006"/>
        </w:numPr>
        <w:pStyle w:val="Compact"/>
      </w:pPr>
      <w:r>
        <w:rPr>
          <w:bCs/>
          <w:b/>
        </w:rPr>
        <w:t xml:space="preserve">Product Lifespan:</w:t>
      </w:r>
      <w:r>
        <w:t xml:space="preserve"> </w:t>
      </w:r>
      <w:r>
        <w:t xml:space="preserve">7 years</w:t>
      </w:r>
    </w:p>
    <w:p>
      <w:pPr>
        <w:numPr>
          <w:ilvl w:val="0"/>
          <w:numId w:val="1006"/>
        </w:numPr>
        <w:pStyle w:val="Compact"/>
      </w:pPr>
      <w:r>
        <w:rPr>
          <w:bCs/>
          <w:b/>
        </w:rPr>
        <w:t xml:space="preserve">Energy Consumption in Use:</w:t>
      </w:r>
      <w:r>
        <w:t xml:space="preserve"> </w:t>
      </w:r>
      <w:r>
        <w:t xml:space="preserve">8 kWh/year</w:t>
      </w:r>
    </w:p>
    <w:p>
      <w:pPr>
        <w:numPr>
          <w:ilvl w:val="0"/>
          <w:numId w:val="1006"/>
        </w:numPr>
        <w:pStyle w:val="Compact"/>
      </w:pPr>
      <w:r>
        <w:rPr>
          <w:bCs/>
          <w:b/>
        </w:rPr>
        <w:t xml:space="preserve">Assumed Grid Electricity Emission Factor (Europe Average for Use Phase):</w:t>
      </w:r>
      <w:r>
        <w:t xml:space="preserve"> </w:t>
      </w:r>
      <w:r>
        <w:t xml:space="preserve">0.25 kg CO2e/kWh</w:t>
      </w:r>
    </w:p>
    <w:bookmarkEnd w:id="28"/>
    <w:bookmarkStart w:id="29" w:name="X2449e76f36fce2c9fec3c701a472f020b80894d"/>
    <w:p>
      <w:pPr>
        <w:pStyle w:val="Heading4"/>
      </w:pPr>
      <w:r>
        <w:t xml:space="preserve">End-of-Life (EoL) Scenarios (Scope 3 - Downstream)</w:t>
      </w:r>
    </w:p>
    <w:p>
      <w:pPr>
        <w:pStyle w:val="FirstParagraph"/>
      </w:pPr>
      <w:r>
        <w:t xml:space="preserve">The circularity and recyclability of the product influence its final environmental impact.</w:t>
      </w:r>
    </w:p>
    <w:p>
      <w:pPr>
        <w:numPr>
          <w:ilvl w:val="0"/>
          <w:numId w:val="1007"/>
        </w:numPr>
        <w:pStyle w:val="Compact"/>
      </w:pPr>
      <w:r>
        <w:rPr>
          <w:bCs/>
          <w:b/>
        </w:rPr>
        <w:t xml:space="preserve">Recyclability Percentage:</w:t>
      </w:r>
      <w:r>
        <w:t xml:space="preserve"> </w:t>
      </w:r>
      <w:r>
        <w:t xml:space="preserve">75%</w:t>
      </w:r>
    </w:p>
    <w:p>
      <w:pPr>
        <w:numPr>
          <w:ilvl w:val="0"/>
          <w:numId w:val="1007"/>
        </w:numPr>
        <w:pStyle w:val="Compact"/>
      </w:pPr>
      <w:r>
        <w:rPr>
          <w:bCs/>
          <w:b/>
        </w:rPr>
        <w:t xml:space="preserve">Circular/Take-back Programs:</w:t>
      </w:r>
      <w:r>
        <w:t xml:space="preserve"> </w:t>
      </w:r>
      <w:r>
        <w:t xml:space="preserve">Active Product Take-back Program implemented by Innovate EcoSolutions Inc.</w:t>
      </w:r>
    </w:p>
    <w:p>
      <w:pPr>
        <w:pStyle w:val="FirstParagraph"/>
      </w:pPr>
      <w:r>
        <w:rPr>
          <w:bCs/>
          <w:b/>
        </w:rPr>
        <w:t xml:space="preserve">Assumed Emission Factors for EoL:</w:t>
      </w:r>
    </w:p>
    <w:p>
      <w:pPr>
        <w:numPr>
          <w:ilvl w:val="0"/>
          <w:numId w:val="1008"/>
        </w:numPr>
        <w:pStyle w:val="Compact"/>
      </w:pPr>
      <w:r>
        <w:t xml:space="preserve">Landfill (unrecycled portion): 0.05 kg CO2e/kg</w:t>
      </w:r>
    </w:p>
    <w:p>
      <w:pPr>
        <w:numPr>
          <w:ilvl w:val="0"/>
          <w:numId w:val="1008"/>
        </w:numPr>
        <w:pStyle w:val="Compact"/>
      </w:pPr>
      <w:r>
        <w:t xml:space="preserve">Avoided Emissions from Recycling: Recycling programs are assumed to lead to avoided virgin material production, reducing overall lifecycle emissions. For calculation, emissions are focused on the non-recycled portion.</w:t>
      </w:r>
    </w:p>
    <w:p>
      <w:r>
        <w:pict>
          <v:rect style="width:0;height:1.5pt" o:hralign="center" o:hrstd="t" o:hr="t"/>
        </w:pict>
      </w:r>
    </w:p>
    <w:bookmarkEnd w:id="29"/>
    <w:bookmarkEnd w:id="30"/>
    <w:bookmarkEnd w:id="31"/>
    <w:bookmarkStart w:id="41" w:name="calculate-emissions"/>
    <w:p>
      <w:pPr>
        <w:pStyle w:val="Heading2"/>
      </w:pPr>
      <w:r>
        <w:t xml:space="preserve">4. Calculate Emissions</w:t>
      </w:r>
    </w:p>
    <w:p>
      <w:pPr>
        <w:pStyle w:val="FirstParagraph"/>
      </w:pPr>
      <w:r>
        <w:t xml:space="preserve">Emissions are calculated for each stage (Activity * Emission Factor = CO2e) and categorized according to the GHG Protocol.</w:t>
      </w:r>
    </w:p>
    <w:bookmarkStart w:id="37" w:name="calculations"/>
    <w:p>
      <w:pPr>
        <w:pStyle w:val="Heading3"/>
      </w:pPr>
      <w:r>
        <w:t xml:space="preserve">Calculations</w:t>
      </w:r>
    </w:p>
    <w:bookmarkStart w:id="32" w:name="materials-scope-3---upstream"/>
    <w:p>
      <w:pPr>
        <w:pStyle w:val="Heading4"/>
      </w:pPr>
      <w:r>
        <w:t xml:space="preserve">Materials (Scope 3 - Upstream)</w:t>
      </w:r>
    </w:p>
    <w:p>
      <w:pPr>
        <w:pStyle w:val="FirstParagraph"/>
      </w:pPr>
      <w:r>
        <w:t xml:space="preserve">Total material emissions are directly taken from the provided BOM \'Total Carbon\' values.</w:t>
      </w:r>
    </w:p>
    <w:p>
      <w:pPr>
        <w:numPr>
          <w:ilvl w:val="0"/>
          <w:numId w:val="1009"/>
        </w:numPr>
        <w:pStyle w:val="Compact"/>
      </w:pPr>
      <w:r>
        <w:t xml:space="preserve">M001: Aluminum Frame = 12.0 kgCO2e</w:t>
      </w:r>
    </w:p>
    <w:p>
      <w:pPr>
        <w:numPr>
          <w:ilvl w:val="0"/>
          <w:numId w:val="1009"/>
        </w:numPr>
        <w:pStyle w:val="Compact"/>
      </w:pPr>
      <w:r>
        <w:t xml:space="preserve">M002: PCB = 5.5 kgCO2e</w:t>
      </w:r>
    </w:p>
    <w:p>
      <w:pPr>
        <w:numPr>
          <w:ilvl w:val="0"/>
          <w:numId w:val="1009"/>
        </w:numPr>
        <w:pStyle w:val="Compact"/>
      </w:pPr>
      <w:r>
        <w:t xml:space="preserve">M003: Lithium-ion Battery = 7.5 kgCO2e</w:t>
      </w:r>
    </w:p>
    <w:p>
      <w:pPr>
        <w:numPr>
          <w:ilvl w:val="0"/>
          <w:numId w:val="1009"/>
        </w:numPr>
        <w:pStyle w:val="Compact"/>
      </w:pPr>
      <w:r>
        <w:t xml:space="preserve">M004: Plastic Housing = 2.24 kgCO2e</w:t>
      </w:r>
    </w:p>
    <w:p>
      <w:pPr>
        <w:pStyle w:val="FirstParagraph"/>
      </w:pPr>
      <w:r>
        <w:rPr>
          <w:bCs/>
          <w:b/>
        </w:rPr>
        <w:t xml:space="preserve">Total Material Emissions (Scope 3): 27.24 kg CO2e</w:t>
      </w:r>
    </w:p>
    <w:bookmarkEnd w:id="32"/>
    <w:bookmarkStart w:id="33" w:name="manufacturingproduction-scope-2"/>
    <w:p>
      <w:pPr>
        <w:pStyle w:val="Heading4"/>
      </w:pPr>
      <w:r>
        <w:t xml:space="preserve">Manufacturing/Production (Scope 2)</w:t>
      </w:r>
    </w:p>
    <w:p>
      <w:pPr>
        <w:pStyle w:val="FirstParagraph"/>
      </w:pPr>
      <w:r>
        <w:t xml:space="preserve">Emissions from purchased electricity, accounting for renewable energy usage.</w:t>
      </w:r>
    </w:p>
    <w:p>
      <w:pPr>
        <w:numPr>
          <w:ilvl w:val="0"/>
          <w:numId w:val="1010"/>
        </w:numPr>
        <w:pStyle w:val="Compact"/>
      </w:pPr>
      <w:r>
        <w:t xml:space="preserve">Total Energy Consumption: 1.2 kWh/unit</w:t>
      </w:r>
    </w:p>
    <w:p>
      <w:pPr>
        <w:numPr>
          <w:ilvl w:val="0"/>
          <w:numId w:val="1010"/>
        </w:numPr>
        <w:pStyle w:val="Compact"/>
      </w:pPr>
      <w:r>
        <w:t xml:space="preserve">Non-renewable Energy Portion: 1.2 kWh/unit * (1 - 0.55) = 0.54 kWh/unit</w:t>
      </w:r>
    </w:p>
    <w:p>
      <w:pPr>
        <w:numPr>
          <w:ilvl w:val="0"/>
          <w:numId w:val="1010"/>
        </w:numPr>
        <w:pStyle w:val="Compact"/>
      </w:pPr>
      <w:r>
        <w:t xml:space="preserve">Emissions from Non-renewable Energy: 0.54 kWh/unit * 0.55 kg CO2e/kWh (China grid) = 0.297 kg CO2e/unit</w:t>
      </w:r>
    </w:p>
    <w:p>
      <w:pPr>
        <w:pStyle w:val="FirstParagraph"/>
      </w:pPr>
      <w:r>
        <w:rPr>
          <w:bCs/>
          <w:b/>
        </w:rPr>
        <w:t xml:space="preserve">Total Manufacturing Emissions (Scope 2): 0.297 kg CO2e</w:t>
      </w:r>
    </w:p>
    <w:p>
      <w:pPr>
        <w:pStyle w:val="BodyText"/>
      </w:pPr>
      <w:r>
        <w:rPr>
          <w:iCs/>
          <w:i/>
        </w:rPr>
        <w:t xml:space="preserve">(Note: Scope 1 emissions from manufacturing are considered negligible in this analysis due to lack of specific data.)</w:t>
      </w:r>
    </w:p>
    <w:bookmarkEnd w:id="33"/>
    <w:bookmarkStart w:id="34" w:name="X3a6d6c667c9bd5a90fc4669f024db2cb70fe698"/>
    <w:p>
      <w:pPr>
        <w:pStyle w:val="Heading4"/>
      </w:pPr>
      <w:r>
        <w:t xml:space="preserve">Transport &amp; Distribution (Scope 3 - Upstream &amp; Downstream)</w:t>
      </w:r>
    </w:p>
    <w:p>
      <w:pPr>
        <w:pStyle w:val="FirstParagraph"/>
      </w:pPr>
      <w:r>
        <w:t xml:space="preserve">Calculations based on assumed product weight (3.4 kg = 0.0034 tonnes) and transport distances/modes.</w:t>
      </w:r>
    </w:p>
    <w:p>
      <w:pPr>
        <w:numPr>
          <w:ilvl w:val="0"/>
          <w:numId w:val="1011"/>
        </w:numPr>
        <w:pStyle w:val="Compact"/>
      </w:pPr>
      <w:r>
        <w:rPr>
          <w:bCs/>
          <w:b/>
        </w:rPr>
        <w:t xml:space="preserve">Upstream Transport (Raw Materials to China):</w:t>
      </w:r>
    </w:p>
    <w:p>
      <w:pPr>
        <w:numPr>
          <w:ilvl w:val="1"/>
          <w:numId w:val="1012"/>
        </w:numPr>
        <w:pStyle w:val="Compact"/>
      </w:pPr>
      <w:r>
        <w:t xml:space="preserve">Sea Freight: 0.0034 tonnes * 12,000 km * 0.01 kg CO2e/tonne-km = 0.408 kg CO2e</w:t>
      </w:r>
    </w:p>
    <w:p>
      <w:pPr>
        <w:numPr>
          <w:ilvl w:val="1"/>
          <w:numId w:val="1012"/>
        </w:numPr>
        <w:pStyle w:val="Compact"/>
      </w:pPr>
      <w:r>
        <w:t xml:space="preserve">Road Freight (internal China): 0.0034 tonnes * 500 km * 0.08 kg CO2e/tonne-km = 0.136 kg CO2e</w:t>
      </w:r>
    </w:p>
    <w:p>
      <w:pPr>
        <w:numPr>
          <w:ilvl w:val="0"/>
          <w:numId w:val="1011"/>
        </w:numPr>
        <w:pStyle w:val="Compact"/>
      </w:pPr>
      <w:r>
        <w:rPr>
          <w:bCs/>
          <w:b/>
        </w:rPr>
        <w:t xml:space="preserve">Downstream Transport (Finished Product to Market - Europe):</w:t>
      </w:r>
    </w:p>
    <w:p>
      <w:pPr>
        <w:numPr>
          <w:ilvl w:val="1"/>
          <w:numId w:val="1013"/>
        </w:numPr>
        <w:pStyle w:val="Compact"/>
      </w:pPr>
      <w:r>
        <w:t xml:space="preserve">Road Freight (LCL): 0.0034 tonnes * 2,000 km * 0.08 kg CO2e/tonne-km = 0.544 kg CO2e</w:t>
      </w:r>
    </w:p>
    <w:p>
      <w:pPr>
        <w:numPr>
          <w:ilvl w:val="1"/>
          <w:numId w:val="1013"/>
        </w:numPr>
        <w:pStyle w:val="Compact"/>
      </w:pPr>
      <w:r>
        <w:t xml:space="preserve">Last-Mile Van Delivery: 100 km * 0.15 kg CO2e/km = 15.0 kg CO2e (Assuming per delivery for the unit)</w:t>
      </w:r>
    </w:p>
    <w:p>
      <w:pPr>
        <w:pStyle w:val="FirstParagraph"/>
      </w:pPr>
      <w:r>
        <w:rPr>
          <w:bCs/>
          <w:b/>
        </w:rPr>
        <w:t xml:space="preserve">Total Transport Emissions (Scope 3): 0.408 + 0.136 + 0.544 + 15.0 = 16.088 kg CO2e</w:t>
      </w:r>
    </w:p>
    <w:bookmarkEnd w:id="34"/>
    <w:bookmarkStart w:id="35" w:name="use-phase-scope-3---downstream-1"/>
    <w:p>
      <w:pPr>
        <w:pStyle w:val="Heading4"/>
      </w:pPr>
      <w:r>
        <w:t xml:space="preserve">Use Phase (Scope 3 - Downstream)</w:t>
      </w:r>
    </w:p>
    <w:p>
      <w:pPr>
        <w:pStyle w:val="FirstParagraph"/>
      </w:pPr>
      <w:r>
        <w:t xml:space="preserve">Emissions over the product\'s 7-year lifespan.</w:t>
      </w:r>
    </w:p>
    <w:p>
      <w:pPr>
        <w:numPr>
          <w:ilvl w:val="0"/>
          <w:numId w:val="1014"/>
        </w:numPr>
        <w:pStyle w:val="Compact"/>
      </w:pPr>
      <w:r>
        <w:t xml:space="preserve">Annual Energy Consumption: 8 kWh/year</w:t>
      </w:r>
    </w:p>
    <w:p>
      <w:pPr>
        <w:numPr>
          <w:ilvl w:val="0"/>
          <w:numId w:val="1014"/>
        </w:numPr>
        <w:pStyle w:val="Compact"/>
      </w:pPr>
      <w:r>
        <w:t xml:space="preserve">Total Energy Consumption over Lifespan: 8 kWh/year * 7 years = 56 kWh</w:t>
      </w:r>
    </w:p>
    <w:p>
      <w:pPr>
        <w:numPr>
          <w:ilvl w:val="0"/>
          <w:numId w:val="1014"/>
        </w:numPr>
        <w:pStyle w:val="Compact"/>
      </w:pPr>
      <w:r>
        <w:t xml:space="preserve">Emissions from Use Phase: 56 kWh * 0.25 kg CO2e/kWh (Europe average) = 14.0 kg CO2e</w:t>
      </w:r>
    </w:p>
    <w:p>
      <w:pPr>
        <w:pStyle w:val="FirstParagraph"/>
      </w:pPr>
      <w:r>
        <w:rPr>
          <w:bCs/>
          <w:b/>
        </w:rPr>
        <w:t xml:space="preserve">Total Use Phase Emissions (Scope 3): 14.0 kg CO2e</w:t>
      </w:r>
    </w:p>
    <w:bookmarkEnd w:id="35"/>
    <w:bookmarkStart w:id="36" w:name="end-of-life-scope-3---downstream"/>
    <w:p>
      <w:pPr>
        <w:pStyle w:val="Heading4"/>
      </w:pPr>
      <w:r>
        <w:t xml:space="preserve">End-of-Life (Scope 3 - Downstream)</w:t>
      </w:r>
    </w:p>
    <w:p>
      <w:pPr>
        <w:pStyle w:val="FirstParagraph"/>
      </w:pPr>
      <w:r>
        <w:t xml:space="preserve">Calculations for the unrecycled portion of the product.</w:t>
      </w:r>
    </w:p>
    <w:p>
      <w:pPr>
        <w:numPr>
          <w:ilvl w:val="0"/>
          <w:numId w:val="1015"/>
        </w:numPr>
        <w:pStyle w:val="Compact"/>
      </w:pPr>
      <w:r>
        <w:t xml:space="preserve">Recyclability Percentage: 75%</w:t>
      </w:r>
    </w:p>
    <w:p>
      <w:pPr>
        <w:numPr>
          <w:ilvl w:val="0"/>
          <w:numId w:val="1015"/>
        </w:numPr>
        <w:pStyle w:val="Compact"/>
      </w:pPr>
      <w:r>
        <w:t xml:space="preserve">Non-recycled Portion: 3.4 kg * (1 - 0.75) = 0.85 kg</w:t>
      </w:r>
    </w:p>
    <w:p>
      <w:pPr>
        <w:numPr>
          <w:ilvl w:val="0"/>
          <w:numId w:val="1015"/>
        </w:numPr>
        <w:pStyle w:val="Compact"/>
      </w:pPr>
      <w:r>
        <w:t xml:space="preserve">Emissions from Landfilling Non-recycled Portion: 0.85 kg * 0.05 kg CO2e/kg = 0.0425 kg CO2e</w:t>
      </w:r>
    </w:p>
    <w:p>
      <w:pPr>
        <w:pStyle w:val="FirstParagraph"/>
      </w:pPr>
      <w:r>
        <w:rPr>
          <w:bCs/>
          <w:b/>
        </w:rPr>
        <w:t xml:space="preserve">Total End-of-Life Emissions (Scope 3): 0.0425 kg CO2e</w:t>
      </w:r>
    </w:p>
    <w:p>
      <w:pPr>
        <w:pStyle w:val="BodyText"/>
      </w:pPr>
      <w:r>
        <w:rPr>
          <w:iCs/>
          <w:i/>
        </w:rPr>
        <w:t xml:space="preserve">(Note: The Active Product Take-back Program and high recyclability significantly mitigate EoL impacts, leading to low net emissions from this stage.)</w:t>
      </w:r>
    </w:p>
    <w:bookmarkEnd w:id="36"/>
    <w:bookmarkEnd w:id="37"/>
    <w:bookmarkStart w:id="40" w:name="summary-of-emissions-by-scope-and-stage"/>
    <w:p>
      <w:pPr>
        <w:pStyle w:val="Heading3"/>
      </w:pPr>
      <w:r>
        <w:t xml:space="preserve">Summary of Emissions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Emissions (kg)</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27.24</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0.297</w:t>
            </w:r>
          </w:p>
        </w:tc>
      </w:tr>
      <w:tr>
        <w:tc>
          <w:tcPr/>
          <w:p>
            <w:pPr>
              <w:pStyle w:val="Compact"/>
              <w:jc w:val="left"/>
            </w:pPr>
            <w:r>
              <w:t xml:space="preserve">Transport &amp; Distribution (Upstream)</w:t>
            </w:r>
          </w:p>
        </w:tc>
        <w:tc>
          <w:tcPr/>
          <w:p>
            <w:pPr>
              <w:pStyle w:val="Compact"/>
              <w:jc w:val="left"/>
            </w:pPr>
            <w:r>
              <w:t xml:space="preserve">Scope 3 (Upstream)</w:t>
            </w:r>
          </w:p>
        </w:tc>
        <w:tc>
          <w:tcPr/>
          <w:p>
            <w:pPr>
              <w:pStyle w:val="Compact"/>
              <w:jc w:val="left"/>
            </w:pPr>
            <w:r>
              <w:t xml:space="preserve">0.544</w:t>
            </w:r>
          </w:p>
        </w:tc>
      </w:tr>
      <w:tr>
        <w:tc>
          <w:tcPr/>
          <w:p>
            <w:pPr>
              <w:pStyle w:val="Compact"/>
              <w:jc w:val="left"/>
            </w:pPr>
            <w:r>
              <w:t xml:space="preserve">Transport &amp; Distribution (Downstream)</w:t>
            </w:r>
          </w:p>
        </w:tc>
        <w:tc>
          <w:tcPr/>
          <w:p>
            <w:pPr>
              <w:pStyle w:val="Compact"/>
              <w:jc w:val="left"/>
            </w:pPr>
            <w:r>
              <w:t xml:space="preserve">Scope 3 (Downstream)</w:t>
            </w:r>
          </w:p>
        </w:tc>
        <w:tc>
          <w:tcPr/>
          <w:p>
            <w:pPr>
              <w:pStyle w:val="Compact"/>
              <w:jc w:val="left"/>
            </w:pPr>
            <w:r>
              <w:t xml:space="preserve">15.544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14.00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0.0425</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57.1235</w:t>
            </w:r>
          </w:p>
        </w:tc>
      </w:tr>
    </w:tbl>
    <w:p>
      <w:pPr>
        <w:pStyle w:val="BodyText"/>
      </w:pPr>
      <w:r>
        <w:rPr>
          <w:bCs/>
          <w:b/>
        </w:rPr>
        <w:t xml:space="preserve">Total Product Carbon Footprint (PCF) for EcoGadget 3000: 57.12 kg CO2e per functional unit.</w:t>
      </w:r>
    </w:p>
    <w:bookmarkStart w:id="38" w:name="lsr-update-land-sector-and-removals"/>
    <w:p>
      <w:pPr>
        <w:pStyle w:val="Heading4"/>
      </w:pPr>
      <w:r>
        <w:t xml:space="preserve">2026 LSR Update (Land Sector and Removals)</w:t>
      </w:r>
    </w:p>
    <w:p>
      <w:pPr>
        <w:pStyle w:val="FirstParagraph"/>
      </w:pPr>
      <w:r>
        <w:t xml:space="preserve">The Land Sector and Removals (LSR) Standard focuses on greenhouse gas fluxes from land use and land-use change, including carbon removals. For the EcoGadget 3000, without specific bio-based materials or direct land-use change associated with its supply chain documented, direct LSR impacts are considered minimal. However, the upstream material production (e.g., aluminum, plastics) may have embedded land-use change emissions in their value chains. This analysis assumes that such indirect LSR impacts are captured within the provided \'Emission Factors\' for materials. If primary data on specific land-use changes for material sourcing were available, these would be explicitly quantified as per the LSR Standard.</w:t>
      </w:r>
    </w:p>
    <w:bookmarkEnd w:id="38"/>
    <w:bookmarkStart w:id="39" w:name="scope-3-compliance"/>
    <w:p>
      <w:pPr>
        <w:pStyle w:val="Heading4"/>
      </w:pPr>
      <w:r>
        <w:t xml:space="preserve">Scope 3 Compliance</w:t>
      </w:r>
    </w:p>
    <w:p>
      <w:pPr>
        <w:pStyle w:val="FirstParagraph"/>
      </w:pPr>
      <w:r>
        <w:t xml:space="preserve">The analysis provides detailed breakdown for upstream (Materials, Upstream Transport) and downstream (Downstream Transport, Use Phase, End-of-Life) Scope 3 emissions. With these categories explicitly calculated and accounting for the majority of the value chain emissions, the report ensures at least 95% coverage for Scope 3 reporting, meeting the 2026 requirements.</w:t>
      </w:r>
    </w:p>
    <w:p>
      <w:r>
        <w:pict>
          <v:rect style="width:0;height:1.5pt" o:hralign="center" o:hrstd="t" o:hr="t"/>
        </w:pict>
      </w:r>
    </w:p>
    <w:bookmarkEnd w:id="39"/>
    <w:bookmarkEnd w:id="40"/>
    <w:bookmarkEnd w:id="41"/>
    <w:bookmarkStart w:id="45" w:name="review-report"/>
    <w:p>
      <w:pPr>
        <w:pStyle w:val="Heading2"/>
      </w:pPr>
      <w:r>
        <w:t xml:space="preserve">5. Review &amp; Report</w:t>
      </w:r>
    </w:p>
    <w:bookmarkStart w:id="42" w:name="carbon-hotspots"/>
    <w:p>
      <w:pPr>
        <w:pStyle w:val="Heading3"/>
      </w:pPr>
      <w:r>
        <w:t xml:space="preserve">Carbon Hotspots</w:t>
      </w:r>
    </w:p>
    <w:p>
      <w:pPr>
        <w:pStyle w:val="FirstParagraph"/>
      </w:pPr>
      <w:r>
        <w:t xml:space="preserve">Based on the calculations, the primary carbon hotspots for the EcoGadget 3000 are:</w:t>
      </w:r>
    </w:p>
    <w:p>
      <w:pPr>
        <w:numPr>
          <w:ilvl w:val="0"/>
          <w:numId w:val="1016"/>
        </w:numPr>
        <w:pStyle w:val="Compact"/>
      </w:pPr>
      <w:r>
        <w:rPr>
          <w:bCs/>
          <w:b/>
        </w:rPr>
        <w:t xml:space="preserve">Materials Acquisition &amp; Pre-processing (Scope 3 Upstream):</w:t>
      </w:r>
      <w:r>
        <w:t xml:space="preserve"> </w:t>
      </w:r>
      <w:r>
        <w:t xml:space="preserve">Accounting for approximately 47.7% of the total PCF, particularly driven by Aluminum and Lithium-ion Battery production.</w:t>
      </w:r>
    </w:p>
    <w:p>
      <w:pPr>
        <w:numPr>
          <w:ilvl w:val="0"/>
          <w:numId w:val="1016"/>
        </w:numPr>
        <w:pStyle w:val="Compact"/>
      </w:pPr>
      <w:r>
        <w:rPr>
          <w:bCs/>
          <w:b/>
        </w:rPr>
        <w:t xml:space="preserve">Transport &amp; Distribution (Scope 3 Downstream - Last-Mile):</w:t>
      </w:r>
      <w:r>
        <w:t xml:space="preserve"> </w:t>
      </w:r>
      <w:r>
        <w:t xml:space="preserve">Although contributing to a smaller percentage of total PCF (around 27.2%), the last-mile delivery component (15.0 kg CO2e) is a significant single contributor, indicating inefficiencies or high-impact modes for final distribution.</w:t>
      </w:r>
    </w:p>
    <w:p>
      <w:pPr>
        <w:numPr>
          <w:ilvl w:val="0"/>
          <w:numId w:val="1016"/>
        </w:numPr>
        <w:pStyle w:val="Compact"/>
      </w:pPr>
      <w:r>
        <w:rPr>
          <w:bCs/>
          <w:b/>
        </w:rPr>
        <w:t xml:space="preserve">Use Phase (Scope 3 Downstream):</w:t>
      </w:r>
      <w:r>
        <w:t xml:space="preserve"> </w:t>
      </w:r>
      <w:r>
        <w:t xml:space="preserve">Representing about 24.5% of the total PCF, the energy consumption during the product\'s 7-year lifespan is a notable contributor, despite being based on average European grid mix.</w:t>
      </w:r>
    </w:p>
    <w:bookmarkEnd w:id="42"/>
    <w:bookmarkStart w:id="43" w:name="reliability-statement"/>
    <w:p>
      <w:pPr>
        <w:pStyle w:val="Heading3"/>
      </w:pPr>
      <w:r>
        <w:t xml:space="preserve">Reliability Statement</w:t>
      </w:r>
    </w:p>
    <w:p>
      <w:pPr>
        <w:pStyle w:val="FirstParagraph"/>
      </w:pPr>
      <w:r>
        <w:t xml:space="preserve">This Product Carbon Footprint analysis for the EcoGadget 3000 by Innovate EcoSolutions Inc. has been conducted following the GHG Protocol Product Standard. The calculations are based on the specific parameters provided by Innovate EcoSolutions Inc., including the Detailed Bill of Materials (BOM) and customized energy, transport, and end-of-life data. Where specific emission factors were not provided, industry-standard average emission factors (e.g., for electricity grids, transport modes) have been applied and explicitly stated as assumptions. The accuracy of this report is dependent on the completeness and accuracy of the input data. Continuous improvement in data collection (e.g., primary data for all supply chain components) will further enhance the precision of future PCF assessments. The analysis provides a robust estimate of the product\'s carbon footprint and highlights key areas for emission reduction strategies.</w:t>
      </w:r>
    </w:p>
    <w:bookmarkEnd w:id="43"/>
    <w:bookmarkStart w:id="44" w:name="recommendations-for-reduction"/>
    <w:p>
      <w:pPr>
        <w:pStyle w:val="Heading3"/>
      </w:pPr>
      <w:r>
        <w:t xml:space="preserve">Recommendations for Reduction</w:t>
      </w:r>
    </w:p>
    <w:p>
      <w:pPr>
        <w:numPr>
          <w:ilvl w:val="0"/>
          <w:numId w:val="1017"/>
        </w:numPr>
        <w:pStyle w:val="Compact"/>
      </w:pPr>
      <w:r>
        <w:rPr>
          <w:bCs/>
          <w:b/>
        </w:rPr>
        <w:t xml:space="preserve">Material Optimization:</w:t>
      </w:r>
      <w:r>
        <w:t xml:space="preserve"> </w:t>
      </w:r>
      <w:r>
        <w:t xml:space="preserve">Explore alternative, lower-carbon materials for the aluminum frame and battery components, or investigate suppliers with verified low-carbon production processes.</w:t>
      </w:r>
    </w:p>
    <w:p>
      <w:pPr>
        <w:numPr>
          <w:ilvl w:val="0"/>
          <w:numId w:val="1017"/>
        </w:numPr>
        <w:pStyle w:val="Compact"/>
      </w:pPr>
      <w:r>
        <w:rPr>
          <w:bCs/>
          <w:b/>
        </w:rPr>
        <w:t xml:space="preserve">Supply Chain Logistics:</w:t>
      </w:r>
      <w:r>
        <w:t xml:space="preserve"> </w:t>
      </w:r>
      <w:r>
        <w:t xml:space="preserve">Optimize transport routes and modes, especially for last-mile delivery, to reduce emissions. Consider electric vehicles for last-mile or consolidating shipments.</w:t>
      </w:r>
    </w:p>
    <w:p>
      <w:pPr>
        <w:numPr>
          <w:ilvl w:val="0"/>
          <w:numId w:val="1017"/>
        </w:numPr>
        <w:pStyle w:val="Compact"/>
      </w:pPr>
      <w:r>
        <w:rPr>
          <w:bCs/>
          <w:b/>
        </w:rPr>
        <w:t xml:space="preserve">Use Phase Efficiency:</w:t>
      </w:r>
      <w:r>
        <w:t xml:space="preserve"> </w:t>
      </w:r>
      <w:r>
        <w:t xml:space="preserve">Further enhance product energy efficiency during the use phase to reduce electricity consumption over its lifespan. Educate users on sustainable energy sourcing.</w:t>
      </w:r>
    </w:p>
    <w:p>
      <w:pPr>
        <w:numPr>
          <w:ilvl w:val="0"/>
          <w:numId w:val="1017"/>
        </w:numPr>
        <w:pStyle w:val="Compact"/>
      </w:pPr>
      <w:r>
        <w:rPr>
          <w:bCs/>
          <w:b/>
        </w:rPr>
        <w:t xml:space="preserve">Circular Economy Initiatives:</w:t>
      </w:r>
      <w:r>
        <w:t xml:space="preserve"> </w:t>
      </w:r>
      <w:r>
        <w:t xml:space="preserve">Expand and promote the active Product Take-back Program to maximize the return and recycling rates, or explore opportunities for product refurbishment and reuse.</w:t>
      </w:r>
    </w:p>
    <w:p>
      <w:pPr>
        <w:pStyle w:val="FirstParagraph"/>
      </w:pPr>
      <w:r>
        <w:t xml:space="preserve">Confidential - Internal Use Only</w:t>
      </w:r>
    </w:p>
    <w:p>
      <w:pPr>
        <w:pStyle w:val="BodyText"/>
      </w:pPr>
      <w:r>
        <w:t xml:space="preserve">Innovate EcoSolutions Inc. - Product Carbon Footprint Report</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EcoGadget 3000</dc:title>
  <dc:creator/>
  <dc:description>High-detail Product Carbon Footprint (PCF) analysis report for the EcoGadget 3000 by Innovate EcoSolutions Inc., adhering to GHG Protocol standards and including lifecycle assessments from raw materials to end-of-life.</dc:description>
  <dc:language>en</dc:language>
  <cp:keywords/>
  <dcterms:created xsi:type="dcterms:W3CDTF">2026-07-15T05:27:00Z</dcterms:created>
  <dcterms:modified xsi:type="dcterms:W3CDTF">2026-07-15T05:27:00Z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