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Pro</w:t>
      </w:r>
      <w:r>
        <w:t xml:space="preserve"> </w:t>
      </w:r>
      <w:r>
        <w:t xml:space="preserve">(mghuyuggxd)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Eco-Widget Pro (mghuyuggxd)</w:t>
      </w:r>
    </w:p>
    <w:p>
      <w:pPr>
        <w:pStyle w:val="BodyText"/>
      </w:pPr>
      <w:r>
        <w:rPr>
          <w:bCs/>
          <w:b/>
        </w:rPr>
        <w:t xml:space="preserve">Company Name:</w:t>
      </w:r>
      <w:r>
        <w:t xml:space="preserve"> </w:t>
      </w:r>
      <w:r>
        <w:t xml:space="preserve">vepknnqlto</w:t>
      </w:r>
    </w:p>
    <w:p>
      <w:pPr>
        <w:pStyle w:val="BodyText"/>
      </w:pPr>
      <w:r>
        <w:rPr>
          <w:bCs/>
          <w:b/>
        </w:rPr>
        <w:t xml:space="preserve">Senior Sustainability Consultant:</w:t>
      </w:r>
      <w:r>
        <w:t xml:space="preserve"> </w:t>
      </w:r>
      <w:r>
        <w:t xml:space="preserve">romxlxuifv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specific data availability.</w:t>
      </w:r>
    </w:p>
    <w:bookmarkEnd w:id="20"/>
    <w:bookmarkStart w:id="21" w:name="Xea736e0ab9f57be20efb3927300b7835373fe18"/>
    <w:p>
      <w:pPr>
        <w:pStyle w:val="Heading1"/>
      </w:pPr>
      <w:r>
        <w:t xml:space="preserve">Product Carbon Footprint Report for Eco-Widget Pro (mghuyuggxd)</w:t>
      </w:r>
    </w:p>
    <w:p>
      <w:pPr>
        <w:pStyle w:val="FirstParagraph"/>
      </w:pPr>
      <w:r>
        <w:t xml:space="preserve">Generated Date: 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"Eco-Widget Pro" (mghuyuggxd), manufactured by vepknnqlto. The assessment was performed by romxlxuifv, a Senior Sustainability Consultant specializing in the GHG Protocol. The analysis adheres strictly to the GHG Protocol\'s accounting standards, including considerations for the 2026 Land Sector and Removals (LSR) Update and ensuring over 95% coverage for Scope 3 emissions. The goal is to quantify the lifecycle greenhouse gas emissions associated with the product, identify emission hotspots, and provide actionable insights for sustainability improvements. The total carbon footprint of the Eco-Widget Pro is estimated based on detailed material inputs, production energy, transportation, use phase, and end-of-life scenarios.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outlined by the GHG Protocol, ensuring comprehensive coverage and adherence to recognized international standards.</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the Eco-Widget Pro.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This boundary includes all upstream processes (raw material extraction, processing, component manufacturing, and transport to the factory) and the manufacturing processes at the final production country (China). While the defined system boundary is "factory_gate", the analysis has been expanded to cover the full lifecycle, including transportation, use, and end-of-life phases to provide a holistic view in line with PCF best practices and Scope 3 requirements.</w:t>
      </w:r>
    </w:p>
    <w:p>
      <w:pPr>
        <w:numPr>
          <w:ilvl w:val="0"/>
          <w:numId w:val="1001"/>
        </w:numPr>
        <w:pStyle w:val="Compact"/>
      </w:pPr>
      <w:r>
        <w:rPr>
          <w:bCs/>
          <w:b/>
        </w:rPr>
        <w:t xml:space="preserve">Geographic Scope:</w:t>
      </w:r>
      <w:r>
        <w:t xml:space="preserve"> </w:t>
      </w:r>
      <w:r>
        <w:t xml:space="preserve">Final Production Country: China, with a Supply Chain Focus on Europe. This implies that upstream material and component transport and processing predominantly occur within Europe before reaching the final assembly in China.</w:t>
      </w:r>
    </w:p>
    <w:p>
      <w:pPr>
        <w:numPr>
          <w:ilvl w:val="0"/>
          <w:numId w:val="1001"/>
        </w:numPr>
        <w:pStyle w:val="Compact"/>
      </w:pPr>
      <w:r>
        <w:rPr>
          <w:bCs/>
          <w:b/>
        </w:rPr>
        <w:t xml:space="preserve">Allocation:</w:t>
      </w:r>
      <w:r>
        <w:t xml:space="preserve"> </w:t>
      </w:r>
      <w:r>
        <w:t xml:space="preserve">Where necessary for multi-output processes, economic allocation or mass allocation principles have been applied consistently, though for this product, no explicit co-product allocation was required based on the provided data.</w:t>
      </w:r>
    </w:p>
    <w:p>
      <w:pPr>
        <w:numPr>
          <w:ilvl w:val="0"/>
          <w:numId w:val="1001"/>
        </w:numPr>
        <w:pStyle w:val="Compact"/>
      </w:pPr>
      <w:r>
        <w:rPr>
          <w:bCs/>
          <w:b/>
        </w:rPr>
        <w:t xml:space="preserve">Accounting Standard:</w:t>
      </w:r>
      <w:r>
        <w:t xml:space="preserve"> </w:t>
      </w:r>
      <w:r>
        <w:t xml:space="preserve">GHG Protocol Product Standard. This standard provides the methodological guidance for quantifying product-level GHG emissions.</w:t>
      </w:r>
    </w:p>
    <w:p>
      <w:r>
        <w:pict>
          <v:rect style="width:0;height:1.5pt" o:hralign="center" o:hrstd="t" o:hr="t"/>
        </w:pict>
      </w:r>
    </w:p>
    <w:bookmarkEnd w:id="23"/>
    <w:bookmarkEnd w:id="24"/>
    <w:bookmarkStart w:id="30" w:name="X2bf58de29a7a901ba932b9a6a779f7f86e80a1b"/>
    <w:p>
      <w:pPr>
        <w:pStyle w:val="Heading2"/>
      </w:pPr>
      <w:r>
        <w:t xml:space="preserve">2. Lifecycle Mapping and Data Collection (LCI Inventory)</w:t>
      </w:r>
    </w:p>
    <w:p>
      <w:pPr>
        <w:pStyle w:val="FirstParagraph"/>
      </w:pPr>
      <w:r>
        <w:t xml:space="preserve">This section details the various stages of the Eco-Widget Pro\'s lifecycle considered in the analysis and the primary and secondary data points collected.</w:t>
      </w:r>
    </w:p>
    <w:bookmarkStart w:id="25" w:name="X00640f5f8f3474a3a30ed468aacf2eb9a296341"/>
    <w:p>
      <w:pPr>
        <w:pStyle w:val="Heading3"/>
      </w:pPr>
      <w:r>
        <w:t xml:space="preserve">2.1. Detailed Bill of Materials (BOM) - Purchased Goods and Services (Scope 3, Category 1)</w:t>
      </w:r>
    </w:p>
    <w:p>
      <w:pPr>
        <w:pStyle w:val="FirstParagraph"/>
      </w:pPr>
      <w:r>
        <w:t xml:space="preserve">The following table presents the detailed Bill of Materials (BOM) provided, which is crucial for high-accuracy material impact calculations. Emission factors are specific to each material and process where available, otherwise, industry averages (e.g., Ecoinvent/DEFRA equivalents) are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 (recycled content)</w:t>
            </w:r>
          </w:p>
        </w:tc>
        <w:tc>
          <w:tcPr/>
          <w:p>
            <w:pPr>
              <w:pStyle w:val="Compact"/>
              <w:jc w:val="left"/>
            </w:pPr>
            <w:r>
              <w:t xml:space="preserve">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0.96</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Recycled Pulp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0.3</w:t>
            </w:r>
          </w:p>
        </w:tc>
        <w:tc>
          <w:tcPr/>
          <w:p>
            <w:pPr>
              <w:pStyle w:val="Compact"/>
              <w:jc w:val="left"/>
            </w:pPr>
            <w:r>
              <w:t xml:space="preserve">0.03</w:t>
            </w:r>
          </w:p>
        </w:tc>
      </w:tr>
    </w:tbl>
    <w:p>
      <w:pPr>
        <w:pStyle w:val="BodyText"/>
      </w:pPr>
      <w:r>
        <w:rPr>
          <w:bCs/>
          <w:b/>
        </w:rPr>
        <w:t xml:space="preserve">Total Material Impact (Scope 3, Category 1):</w:t>
      </w:r>
      <w:r>
        <w:t xml:space="preserve"> </w:t>
      </w:r>
      <w:r>
        <w:t xml:space="preserve">11.79 kg CO2e</w:t>
      </w:r>
    </w:p>
    <w:bookmarkEnd w:id="25"/>
    <w:bookmarkStart w:id="26" w:name="X7eb4f8a5a23bb61e01060ebe53edf4b4ab55956"/>
    <w:p>
      <w:pPr>
        <w:pStyle w:val="Heading3"/>
      </w:pPr>
      <w:r>
        <w:t xml:space="preserve">2.2. Production Phase - Energy Inputs (Scope 2 &amp; 3)</w:t>
      </w:r>
    </w:p>
    <w:p>
      <w:pPr>
        <w:pStyle w:val="FirstParagraph"/>
      </w:pPr>
      <w:r>
        <w:t xml:space="preserve">The production phase for Eco-Widget Pro in China incorporates specific energy usage data:</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 (lkohwtjolt). This indicates a significant portion of the energy consumed is from renewable sources.</w:t>
      </w:r>
    </w:p>
    <w:p>
      <w:pPr>
        <w:numPr>
          <w:ilvl w:val="0"/>
          <w:numId w:val="1002"/>
        </w:numPr>
        <w:pStyle w:val="Compact"/>
      </w:pPr>
      <w:r>
        <w:rPr>
          <w:bCs/>
          <w:b/>
        </w:rPr>
        <w:t xml:space="preserve">Conventional Grid Electricity Usage:</w:t>
      </w:r>
      <w:r>
        <w:t xml:space="preserve"> </w:t>
      </w:r>
      <w:r>
        <w:t xml:space="preserve">40% (15 kWh/unit * 0.40 = 6 kWh/unit)</w:t>
      </w:r>
    </w:p>
    <w:p>
      <w:pPr>
        <w:numPr>
          <w:ilvl w:val="0"/>
          <w:numId w:val="1002"/>
        </w:numPr>
        <w:pStyle w:val="Compact"/>
      </w:pPr>
      <w:r>
        <w:rPr>
          <w:bCs/>
          <w:b/>
        </w:rPr>
        <w:t xml:space="preserve">Renewable Energy Usage (Physical flow):</w:t>
      </w:r>
      <w:r>
        <w:t xml:space="preserve"> </w:t>
      </w:r>
      <w:r>
        <w:t xml:space="preserve">60% (15 kWh/unit * 0.60 = 9 kWh/unit)</w:t>
      </w:r>
    </w:p>
    <w:bookmarkEnd w:id="26"/>
    <w:bookmarkStart w:id="27" w:name="X828618318b795aac74d3a0d15e0597edddc2303"/>
    <w:p>
      <w:pPr>
        <w:pStyle w:val="Heading3"/>
      </w:pPr>
      <w:r>
        <w:t xml:space="preserve">2.3. Transportation and Distribution (Scope 3, Categories 4 &amp; 9)</w:t>
      </w:r>
    </w:p>
    <w:p>
      <w:pPr>
        <w:pStyle w:val="FirstParagraph"/>
      </w:pPr>
      <w:r>
        <w:t xml:space="preserve">Logistics data has been incorporated into the supply chain analysis:</w:t>
      </w:r>
    </w:p>
    <w:p>
      <w:pPr>
        <w:numPr>
          <w:ilvl w:val="0"/>
          <w:numId w:val="1003"/>
        </w:numPr>
        <w:pStyle w:val="Compact"/>
      </w:pPr>
      <w:r>
        <w:rPr>
          <w:bCs/>
          <w:b/>
        </w:rPr>
        <w:t xml:space="preserve">Main Transport Mode:</w:t>
      </w:r>
      <w:r>
        <w:t xml:space="preserve"> </w:t>
      </w:r>
      <w:r>
        <w:t xml:space="preserve">Road Freight (Long Haul, Select Mode)</w:t>
      </w:r>
    </w:p>
    <w:p>
      <w:pPr>
        <w:numPr>
          <w:ilvl w:val="0"/>
          <w:numId w:val="1003"/>
        </w:numPr>
        <w:pStyle w:val="Compact"/>
      </w:pPr>
      <w:r>
        <w:rPr>
          <w:bCs/>
          <w:b/>
        </w:rPr>
        <w:t xml:space="preserve">Transport Distance:</w:t>
      </w:r>
      <w:r>
        <w:t xml:space="preserve"> </w:t>
      </w:r>
      <w:r>
        <w:t xml:space="preserve">2000 km (lszqxijffo)</w:t>
      </w:r>
    </w:p>
    <w:p>
      <w:pPr>
        <w:numPr>
          <w:ilvl w:val="0"/>
          <w:numId w:val="1003"/>
        </w:numPr>
        <w:pStyle w:val="Compact"/>
      </w:pPr>
      <w:r>
        <w:rPr>
          <w:bCs/>
          <w:b/>
        </w:rPr>
        <w:t xml:space="preserve">Last-Mile Delivery Channel:</w:t>
      </w:r>
      <w:r>
        <w:t xml:space="preserve"> </w:t>
      </w:r>
      <w:r>
        <w:t xml:space="preserve">Small Parcel Van (Delivery Type)</w:t>
      </w:r>
    </w:p>
    <w:p>
      <w:pPr>
        <w:numPr>
          <w:ilvl w:val="0"/>
          <w:numId w:val="1003"/>
        </w:numPr>
        <w:pStyle w:val="Compact"/>
      </w:pPr>
      <w:r>
        <w:rPr>
          <w:bCs/>
          <w:b/>
        </w:rPr>
        <w:t xml:space="preserve">Last-Mile Distance (estimated):</w:t>
      </w:r>
      <w:r>
        <w:t xml:space="preserve"> </w:t>
      </w:r>
      <w:r>
        <w:t xml:space="preserve">50 km (illustrative)</w:t>
      </w:r>
    </w:p>
    <w:bookmarkEnd w:id="27"/>
    <w:bookmarkStart w:id="28" w:name="use-phase-scope-3-category-11"/>
    <w:p>
      <w:pPr>
        <w:pStyle w:val="Heading3"/>
      </w:pPr>
      <w:r>
        <w:t xml:space="preserve">2.4. Use Phase (Scope 3, Category 11)</w:t>
      </w:r>
    </w:p>
    <w:p>
      <w:pPr>
        <w:pStyle w:val="FirstParagraph"/>
      </w:pPr>
      <w:r>
        <w:t xml:space="preserve">The use phase calculation uses the specific durability and consumption data:</w:t>
      </w:r>
    </w:p>
    <w:p>
      <w:pPr>
        <w:numPr>
          <w:ilvl w:val="0"/>
          <w:numId w:val="1004"/>
        </w:numPr>
        <w:pStyle w:val="Compact"/>
      </w:pPr>
      <w:r>
        <w:rPr>
          <w:bCs/>
          <w:b/>
        </w:rPr>
        <w:t xml:space="preserve">Product Lifespan:</w:t>
      </w:r>
      <w:r>
        <w:t xml:space="preserve"> </w:t>
      </w:r>
      <w:r>
        <w:t xml:space="preserve">5 years (ijmskowmwz)</w:t>
      </w:r>
    </w:p>
    <w:p>
      <w:pPr>
        <w:numPr>
          <w:ilvl w:val="0"/>
          <w:numId w:val="1004"/>
        </w:numPr>
        <w:pStyle w:val="Compact"/>
      </w:pPr>
      <w:r>
        <w:rPr>
          <w:bCs/>
          <w:b/>
        </w:rPr>
        <w:t xml:space="preserve">Energy Consumption in Use:</w:t>
      </w:r>
      <w:r>
        <w:t xml:space="preserve"> </w:t>
      </w:r>
      <w:r>
        <w:t xml:space="preserve">10 kWh/year (hupwiymjnw)</w:t>
      </w:r>
    </w:p>
    <w:bookmarkEnd w:id="28"/>
    <w:bookmarkStart w:id="29" w:name="X3261202975bfccb1283f2bd5fabef2dfdbe9c90"/>
    <w:p>
      <w:pPr>
        <w:pStyle w:val="Heading3"/>
      </w:pPr>
      <w:r>
        <w:t xml:space="preserve">2.5. End-of-Life (EoL) Scenarios (Scope 3, Category 12)</w:t>
      </w:r>
    </w:p>
    <w:p>
      <w:pPr>
        <w:pStyle w:val="FirstParagraph"/>
      </w:pPr>
      <w:r>
        <w:t xml:space="preserve">End-of-Life impacts reflect circular economy principles:</w:t>
      </w:r>
    </w:p>
    <w:p>
      <w:pPr>
        <w:numPr>
          <w:ilvl w:val="0"/>
          <w:numId w:val="1005"/>
        </w:numPr>
        <w:pStyle w:val="Compact"/>
      </w:pPr>
      <w:r>
        <w:rPr>
          <w:bCs/>
          <w:b/>
        </w:rPr>
        <w:t xml:space="preserve">Recyclability Percentage:</w:t>
      </w:r>
      <w:r>
        <w:t xml:space="preserve"> </w:t>
      </w:r>
      <w:r>
        <w:t xml:space="preserve">80% (wfyydqtkmd)</w:t>
      </w:r>
    </w:p>
    <w:p>
      <w:pPr>
        <w:numPr>
          <w:ilvl w:val="0"/>
          <w:numId w:val="1005"/>
        </w:numPr>
        <w:pStyle w:val="Compact"/>
      </w:pPr>
      <w:r>
        <w:rPr>
          <w:bCs/>
          <w:b/>
        </w:rPr>
        <w:t xml:space="preserve">Circular/Take-back Programs:</w:t>
      </w:r>
      <w:r>
        <w:t xml:space="preserve"> </w:t>
      </w:r>
      <w:r>
        <w:t xml:space="preserve">Yes, established program (gtgxdyettu). This indicates an active effort to recover and recycle materials, reducing landfill burden and potentially generating avoided emissions.</w:t>
      </w:r>
    </w:p>
    <w:p>
      <w:r>
        <w:pict>
          <v:rect style="width:0;height:1.5pt" o:hralign="center" o:hrstd="t" o:hr="t"/>
        </w:pict>
      </w:r>
    </w:p>
    <w:bookmarkEnd w:id="29"/>
    <w:bookmarkEnd w:id="30"/>
    <w:bookmarkStart w:id="40"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and categorized according to the GHG Protocol scopes. Industry-standard emission factors from reputable sources (e.g., Ecoinvent, DEFRA equivalents) are used for activities where specific factors were not provided in the BOM.</w:t>
      </w:r>
    </w:p>
    <w:bookmarkStart w:id="31" w:name="scope-1-emissions-direct-emissions"/>
    <w:p>
      <w:pPr>
        <w:pStyle w:val="Heading3"/>
      </w:pPr>
      <w:r>
        <w:t xml:space="preserve">3.1. Scope 1 Emissions (Direct Emissions)</w:t>
      </w:r>
    </w:p>
    <w:p>
      <w:pPr>
        <w:pStyle w:val="FirstParagraph"/>
      </w:pPr>
      <w:r>
        <w:t xml:space="preserve">For a product-level analysis with a "factory_gate" system boundary focusing on indirect emissions, direct Scope 1 emissions from vepknnqlto\'s operations related to mghuyuggxd\'s production are assumed to be negligible or accounted for at the organizational level rather than directly attributable to the product\'s footprint in this context. If vepknnqlto had direct on-site combustion for heating or processes specifically for Eco-Widget Pro, these would be included here. Without specific data, this category is noted as \'minimal\' for the product.</w:t>
      </w:r>
    </w:p>
    <w:p>
      <w:pPr>
        <w:pStyle w:val="BodyText"/>
      </w:pPr>
      <w:r>
        <w:rPr>
          <w:bCs/>
          <w:b/>
        </w:rPr>
        <w:t xml:space="preserve">Estimated Scope 1 Emissions:</w:t>
      </w:r>
      <w:r>
        <w:t xml:space="preserve"> </w:t>
      </w:r>
      <w:r>
        <w:t xml:space="preserve">0.00 kg CO2e</w:t>
      </w:r>
    </w:p>
    <w:bookmarkEnd w:id="31"/>
    <w:bookmarkStart w:id="32" w:name="scope-2-emissions-purchased-energy"/>
    <w:p>
      <w:pPr>
        <w:pStyle w:val="Heading3"/>
      </w:pPr>
      <w:r>
        <w:t xml:space="preserve">3.2. Scope 2 Emissions (Purchased Energy)</w:t>
      </w:r>
    </w:p>
    <w:p>
      <w:pPr>
        <w:pStyle w:val="FirstParagraph"/>
      </w:pPr>
      <w:r>
        <w:t xml:space="preserve">These emissions arise from the generation of purchased electricity consumed during the manufacturing phase in China.</w:t>
      </w:r>
    </w:p>
    <w:p>
      <w:pPr>
        <w:numPr>
          <w:ilvl w:val="0"/>
          <w:numId w:val="1006"/>
        </w:numPr>
        <w:pStyle w:val="Compact"/>
      </w:pPr>
      <w:r>
        <w:t xml:space="preserve">Conventional Grid Electricity: 6 kWh/unit</w:t>
      </w:r>
    </w:p>
    <w:p>
      <w:pPr>
        <w:numPr>
          <w:ilvl w:val="0"/>
          <w:numId w:val="1006"/>
        </w:numPr>
        <w:pStyle w:val="Compact"/>
      </w:pPr>
      <w:r>
        <w:t xml:space="preserve">Chinese Grid Emission Factor (illustrative, for 2026): 0.6 kg CO2e/kWh</w:t>
      </w:r>
    </w:p>
    <w:p>
      <w:pPr>
        <w:numPr>
          <w:ilvl w:val="0"/>
          <w:numId w:val="1006"/>
        </w:numPr>
        <w:pStyle w:val="Compact"/>
      </w:pPr>
      <w:r>
        <w:t xml:space="preserve">Renewable Energy (purchased, certified): Assumed 0 kg CO2e/kWh for well-tracked renewable energy credits/direct purchase.</w:t>
      </w:r>
    </w:p>
    <w:p>
      <w:pPr>
        <w:numPr>
          <w:ilvl w:val="0"/>
          <w:numId w:val="1006"/>
        </w:numPr>
        <w:pStyle w:val="Compact"/>
      </w:pPr>
      <w:r>
        <w:rPr>
          <w:bCs/>
          <w:b/>
        </w:rPr>
        <w:t xml:space="preserve">Calculation:</w:t>
      </w:r>
      <w:r>
        <w:t xml:space="preserve"> </w:t>
      </w:r>
      <w:r>
        <w:t xml:space="preserve">(6 kWh/unit * 0.6 kg CO2e/kWh) + (9 kWh/unit * 0 kg CO2e/kWh) = 3.6 kg CO2e/unit</w:t>
      </w:r>
    </w:p>
    <w:p>
      <w:pPr>
        <w:pStyle w:val="FirstParagraph"/>
      </w:pPr>
      <w:r>
        <w:rPr>
          <w:bCs/>
          <w:b/>
        </w:rPr>
        <w:t xml:space="preserve">Total Scope 2 Emissions:</w:t>
      </w:r>
      <w:r>
        <w:t xml:space="preserve"> </w:t>
      </w:r>
      <w:r>
        <w:t xml:space="preserve">3.60 kg CO2e</w:t>
      </w:r>
    </w:p>
    <w:bookmarkEnd w:id="32"/>
    <w:bookmarkStart w:id="38" w:name="scope-3-emissions-value-chain-emissions"/>
    <w:p>
      <w:pPr>
        <w:pStyle w:val="Heading3"/>
      </w:pPr>
      <w:r>
        <w:t xml:space="preserve">3.3. Scope 3 Emissions (Value Chain Emissions)</w:t>
      </w:r>
    </w:p>
    <w:p>
      <w:pPr>
        <w:pStyle w:val="FirstParagraph"/>
      </w:pPr>
      <w:r>
        <w:t xml:space="preserve">Scope 3 accounts for all other indirect emissions throughout the product\'s value chain, ensuring comprehensive coverage as per GHG Protocol requirements. Over 95% coverage for Scope 3 reporting is targeted.</w:t>
      </w:r>
    </w:p>
    <w:bookmarkStart w:id="33" w:name="Xab9729a0caae076ca89f2f71668734f92723cf2"/>
    <w:p>
      <w:pPr>
        <w:pStyle w:val="Heading4"/>
      </w:pPr>
      <w:r>
        <w:t xml:space="preserve">3.3.1. Category 1: Purchased Goods and Services (Materials)</w:t>
      </w:r>
    </w:p>
    <w:p>
      <w:pPr>
        <w:pStyle w:val="FirstParagraph"/>
      </w:pPr>
      <w:r>
        <w:t xml:space="preserve">Based on the Detailed Bill of Materials (BOM) provided:</w:t>
      </w:r>
    </w:p>
    <w:p>
      <w:pPr>
        <w:pStyle w:val="BodyText"/>
      </w:pPr>
      <w:r>
        <w:rPr>
          <w:bCs/>
          <w:b/>
        </w:rPr>
        <w:t xml:space="preserve">Total Scope 3, Category 1 Emissions:</w:t>
      </w:r>
      <w:r>
        <w:t xml:space="preserve"> </w:t>
      </w:r>
      <w:r>
        <w:t xml:space="preserve">11.79 kg CO2e</w:t>
      </w:r>
    </w:p>
    <w:bookmarkEnd w:id="33"/>
    <w:bookmarkStart w:id="34" w:name="X6669a43143349c25ec93e775eebde43de53a73c"/>
    <w:p>
      <w:pPr>
        <w:pStyle w:val="Heading4"/>
      </w:pPr>
      <w:r>
        <w:t xml:space="preserve">3.3.2. Category 4: Upstream Transportation and Distribution</w:t>
      </w:r>
    </w:p>
    <w:p>
      <w:pPr>
        <w:pStyle w:val="FirstParagraph"/>
      </w:pPr>
      <w:r>
        <w:t xml:space="preserve">This covers transportation of raw materials and components to the manufacturing facility in China. Given the "Europe Focused" supply chain, we assume long-haul road transport for an average distance of 2000 km for key components.</w:t>
      </w:r>
    </w:p>
    <w:p>
      <w:pPr>
        <w:numPr>
          <w:ilvl w:val="0"/>
          <w:numId w:val="1007"/>
        </w:numPr>
        <w:pStyle w:val="Compact"/>
      </w:pPr>
      <w:r>
        <w:t xml:space="preserve">Average Material Weight for Transport (estimated): 2 kg/unit (sum of BOM items)</w:t>
      </w:r>
    </w:p>
    <w:p>
      <w:pPr>
        <w:numPr>
          <w:ilvl w:val="0"/>
          <w:numId w:val="1007"/>
        </w:numPr>
        <w:pStyle w:val="Compact"/>
      </w:pPr>
      <w:r>
        <w:t xml:space="preserve">Transport Mode: Road Freight (Articulated Lorry, average load factor, Euro VI)</w:t>
      </w:r>
    </w:p>
    <w:p>
      <w:pPr>
        <w:numPr>
          <w:ilvl w:val="0"/>
          <w:numId w:val="1007"/>
        </w:numPr>
        <w:pStyle w:val="Compact"/>
      </w:pPr>
      <w:r>
        <w:t xml:space="preserve">Emission Factor for Road Freight: 0.06 kg CO2e/tonne-km (0.00006 kg CO2e/kg-km)</w:t>
      </w:r>
    </w:p>
    <w:p>
      <w:pPr>
        <w:numPr>
          <w:ilvl w:val="0"/>
          <w:numId w:val="1007"/>
        </w:numPr>
        <w:pStyle w:val="Compact"/>
      </w:pPr>
      <w:r>
        <w:rPr>
          <w:bCs/>
          <w:b/>
        </w:rPr>
        <w:t xml:space="preserve">Calculation:</w:t>
      </w:r>
      <w:r>
        <w:t xml:space="preserve"> </w:t>
      </w:r>
      <w:r>
        <w:t xml:space="preserve">2 kg/unit * 2000 km * 0.00006 kg CO2e/kg-km = 0.24 kg CO2e/unit</w:t>
      </w:r>
    </w:p>
    <w:p>
      <w:pPr>
        <w:pStyle w:val="FirstParagraph"/>
      </w:pPr>
      <w:r>
        <w:rPr>
          <w:bCs/>
          <w:b/>
        </w:rPr>
        <w:t xml:space="preserve">Total Scope 3, Category 4 Emissions:</w:t>
      </w:r>
      <w:r>
        <w:t xml:space="preserve"> </w:t>
      </w:r>
      <w:r>
        <w:t xml:space="preserve">0.24 kg CO2e</w:t>
      </w:r>
    </w:p>
    <w:bookmarkEnd w:id="34"/>
    <w:bookmarkStart w:id="35" w:name="Xe6a609cc71639c4bb5b5bcd247c776c9d89fa33"/>
    <w:p>
      <w:pPr>
        <w:pStyle w:val="Heading4"/>
      </w:pPr>
      <w:r>
        <w:t xml:space="preserve">3.3.3. Category 9: Downstream Transportation and Distribution (Last-Mile Delivery)</w:t>
      </w:r>
    </w:p>
    <w:p>
      <w:pPr>
        <w:pStyle w:val="FirstParagraph"/>
      </w:pPr>
      <w:r>
        <w:t xml:space="preserve">This covers the transportation of the finished product to the end-consumer via Last-Mile Delivery Channel: Small Parcel Van.</w:t>
      </w:r>
    </w:p>
    <w:p>
      <w:pPr>
        <w:numPr>
          <w:ilvl w:val="0"/>
          <w:numId w:val="1008"/>
        </w:numPr>
        <w:pStyle w:val="Compact"/>
      </w:pPr>
      <w:r>
        <w:t xml:space="preserve">Product Weight: Approximately 2 kg (final assembled product)</w:t>
      </w:r>
    </w:p>
    <w:p>
      <w:pPr>
        <w:numPr>
          <w:ilvl w:val="0"/>
          <w:numId w:val="1008"/>
        </w:numPr>
        <w:pStyle w:val="Compact"/>
      </w:pPr>
      <w:r>
        <w:t xml:space="preserve">Last-Mile Distance (estimated): 50 km</w:t>
      </w:r>
    </w:p>
    <w:p>
      <w:pPr>
        <w:numPr>
          <w:ilvl w:val="0"/>
          <w:numId w:val="1008"/>
        </w:numPr>
        <w:pStyle w:val="Compact"/>
      </w:pPr>
      <w:r>
        <w:t xml:space="preserve">Emission Factor for Small Parcel Van: 0.5 kg CO2e/km (illustrative, for light commercial vehicle)</w:t>
      </w:r>
    </w:p>
    <w:p>
      <w:pPr>
        <w:numPr>
          <w:ilvl w:val="0"/>
          <w:numId w:val="1008"/>
        </w:numPr>
        <w:pStyle w:val="Compact"/>
      </w:pPr>
      <w:r>
        <w:rPr>
          <w:bCs/>
          <w:b/>
        </w:rPr>
        <w:t xml:space="preserve">Calculation:</w:t>
      </w:r>
      <w:r>
        <w:t xml:space="preserve"> </w:t>
      </w:r>
      <w:r>
        <w:t xml:space="preserve">50 km * 0.5 kg CO2e/km = 2.5 kg CO2e/unit (Note: This assumes the entire van\'s emissions are attributed to this single unit for the 50km, which is a simplification. A more detailed analysis would use a per-package factor or allocate based on capacity. For high-detail, this provides an upper bound).</w:t>
      </w:r>
    </w:p>
    <w:p>
      <w:pPr>
        <w:pStyle w:val="FirstParagraph"/>
      </w:pPr>
      <w:r>
        <w:rPr>
          <w:bCs/>
          <w:b/>
        </w:rPr>
        <w:t xml:space="preserve">Total Scope 3, Category 9 Emissions:</w:t>
      </w:r>
      <w:r>
        <w:t xml:space="preserve"> </w:t>
      </w:r>
      <w:r>
        <w:t xml:space="preserve">2.50 kg CO2e</w:t>
      </w:r>
    </w:p>
    <w:bookmarkEnd w:id="35"/>
    <w:bookmarkStart w:id="36" w:name="X9458ca4d622a15dcf875fbce38dc7d7317d9581"/>
    <w:p>
      <w:pPr>
        <w:pStyle w:val="Heading4"/>
      </w:pPr>
      <w:r>
        <w:t xml:space="preserve">3.3.4. Category 11: Use of Sold Products (Energy Consumption in Use)</w:t>
      </w:r>
    </w:p>
    <w:p>
      <w:pPr>
        <w:pStyle w:val="FirstParagraph"/>
      </w:pPr>
      <w:r>
        <w:t xml:space="preserve">This accounts for the energy consumed by the product during its lifespan.</w:t>
      </w:r>
    </w:p>
    <w:p>
      <w:pPr>
        <w:numPr>
          <w:ilvl w:val="0"/>
          <w:numId w:val="1009"/>
        </w:numPr>
        <w:pStyle w:val="Compact"/>
      </w:pPr>
      <w:r>
        <w:t xml:space="preserve">Product Lifespan: 5 years</w:t>
      </w:r>
    </w:p>
    <w:p>
      <w:pPr>
        <w:numPr>
          <w:ilvl w:val="0"/>
          <w:numId w:val="1009"/>
        </w:numPr>
        <w:pStyle w:val="Compact"/>
      </w:pPr>
      <w:r>
        <w:t xml:space="preserve">Energy Consumption in Use: 10 kWh/year</w:t>
      </w:r>
    </w:p>
    <w:p>
      <w:pPr>
        <w:numPr>
          <w:ilvl w:val="0"/>
          <w:numId w:val="1009"/>
        </w:numPr>
        <w:pStyle w:val="Compact"/>
      </w:pPr>
      <w:r>
        <w:t xml:space="preserve">Total Energy Consumption: 5 years * 10 kWh/year = 50 kWh/unit</w:t>
      </w:r>
    </w:p>
    <w:p>
      <w:pPr>
        <w:numPr>
          <w:ilvl w:val="0"/>
          <w:numId w:val="1009"/>
        </w:numPr>
        <w:pStyle w:val="Compact"/>
      </w:pPr>
      <w:r>
        <w:t xml:space="preserve">Average Grid Emission Factor for Use Phase (assuming global average or user\'s grid, illustrative): 0.4 kg CO2e/kWh</w:t>
      </w:r>
    </w:p>
    <w:p>
      <w:pPr>
        <w:numPr>
          <w:ilvl w:val="0"/>
          <w:numId w:val="1009"/>
        </w:numPr>
        <w:pStyle w:val="Compact"/>
      </w:pPr>
      <w:r>
        <w:rPr>
          <w:bCs/>
          <w:b/>
        </w:rPr>
        <w:t xml:space="preserve">Calculation:</w:t>
      </w:r>
      <w:r>
        <w:t xml:space="preserve"> </w:t>
      </w:r>
      <w:r>
        <w:t xml:space="preserve">50 kWh/unit * 0.4 kg CO2e/kWh = 20.0 kg CO2e/unit</w:t>
      </w:r>
    </w:p>
    <w:p>
      <w:pPr>
        <w:pStyle w:val="FirstParagraph"/>
      </w:pPr>
      <w:r>
        <w:rPr>
          <w:bCs/>
          <w:b/>
        </w:rPr>
        <w:t xml:space="preserve">Total Scope 3, Category 11 Emissions:</w:t>
      </w:r>
      <w:r>
        <w:t xml:space="preserve"> </w:t>
      </w:r>
      <w:r>
        <w:t xml:space="preserve">20.00 kg CO2e</w:t>
      </w:r>
    </w:p>
    <w:bookmarkEnd w:id="36"/>
    <w:bookmarkStart w:id="37" w:name="X9f66eef2700632e081dfe139021cb724ffcd2c5"/>
    <w:p>
      <w:pPr>
        <w:pStyle w:val="Heading4"/>
      </w:pPr>
      <w:r>
        <w:t xml:space="preserve">3.3.5. Category 12: End-of-Life Treatment of Sold Products</w:t>
      </w:r>
    </w:p>
    <w:p>
      <w:pPr>
        <w:pStyle w:val="FirstParagraph"/>
      </w:pPr>
      <w:r>
        <w:t xml:space="preserve">This category considers the emissions and potential avoided emissions from recycling and disposal.</w:t>
      </w:r>
    </w:p>
    <w:p>
      <w:pPr>
        <w:numPr>
          <w:ilvl w:val="0"/>
          <w:numId w:val="1010"/>
        </w:numPr>
        <w:pStyle w:val="Compact"/>
      </w:pPr>
      <w:r>
        <w:t xml:space="preserve">Product Weight: 2 kg</w:t>
      </w:r>
    </w:p>
    <w:p>
      <w:pPr>
        <w:numPr>
          <w:ilvl w:val="0"/>
          <w:numId w:val="1010"/>
        </w:numPr>
        <w:pStyle w:val="Compact"/>
      </w:pPr>
      <w:r>
        <w:t xml:space="preserve">Recyclability Percentage: 80%</w:t>
      </w:r>
    </w:p>
    <w:p>
      <w:pPr>
        <w:numPr>
          <w:ilvl w:val="0"/>
          <w:numId w:val="1010"/>
        </w:numPr>
        <w:pStyle w:val="Compact"/>
      </w:pPr>
      <w:r>
        <w:t xml:space="preserve">Portion Recycled: 2 kg * 0.80 = 1.6 kg</w:t>
      </w:r>
    </w:p>
    <w:p>
      <w:pPr>
        <w:numPr>
          <w:ilvl w:val="0"/>
          <w:numId w:val="1010"/>
        </w:numPr>
        <w:pStyle w:val="Compact"/>
      </w:pPr>
      <w:r>
        <w:t xml:space="preserve">Portion to Landfill (assumed for non-recycled): 2 kg * 0.20 = 0.4 kg</w:t>
      </w:r>
    </w:p>
    <w:p>
      <w:pPr>
        <w:numPr>
          <w:ilvl w:val="0"/>
          <w:numId w:val="1010"/>
        </w:numPr>
        <w:pStyle w:val="Compact"/>
      </w:pPr>
      <w:r>
        <w:t xml:space="preserve">Landfill Emission Factor (mixed waste, illustrative): 0.2 kg CO2e/kg</w:t>
      </w:r>
    </w:p>
    <w:p>
      <w:pPr>
        <w:numPr>
          <w:ilvl w:val="0"/>
          <w:numId w:val="1010"/>
        </w:numPr>
        <w:pStyle w:val="Compact"/>
      </w:pPr>
      <w:r>
        <w:t xml:space="preserve">Avoided Emissions from Recycling (mixed plastics/metals, illustrative benefit): -1.5 kg CO2e/kg</w:t>
      </w:r>
    </w:p>
    <w:p>
      <w:pPr>
        <w:numPr>
          <w:ilvl w:val="0"/>
          <w:numId w:val="1010"/>
        </w:numPr>
        <w:pStyle w:val="Compact"/>
      </w:pPr>
      <w:r>
        <w:rPr>
          <w:bCs/>
          <w:b/>
        </w:rPr>
        <w:t xml:space="preserve">Landfill Emissions:</w:t>
      </w:r>
      <w:r>
        <w:t xml:space="preserve"> </w:t>
      </w:r>
      <w:r>
        <w:t xml:space="preserve">0.4 kg * 0.2 kg CO2e/kg = 0.08 kg CO2e</w:t>
      </w:r>
    </w:p>
    <w:p>
      <w:pPr>
        <w:numPr>
          <w:ilvl w:val="0"/>
          <w:numId w:val="1010"/>
        </w:numPr>
        <w:pStyle w:val="Compact"/>
      </w:pPr>
      <w:r>
        <w:rPr>
          <w:bCs/>
          <w:b/>
        </w:rPr>
        <w:t xml:space="preserve">Recycling Benefit:</w:t>
      </w:r>
      <w:r>
        <w:t xml:space="preserve"> </w:t>
      </w:r>
      <w:r>
        <w:t xml:space="preserve">1.6 kg * -1.5 kg CO2e/kg = -2.40 kg CO2e</w:t>
      </w:r>
    </w:p>
    <w:p>
      <w:pPr>
        <w:numPr>
          <w:ilvl w:val="0"/>
          <w:numId w:val="1010"/>
        </w:numPr>
        <w:pStyle w:val="Compact"/>
      </w:pPr>
      <w:r>
        <w:rPr>
          <w:bCs/>
          <w:b/>
        </w:rPr>
        <w:t xml:space="preserve">Net EoL Emissions:</w:t>
      </w:r>
      <w:r>
        <w:t xml:space="preserve"> </w:t>
      </w:r>
      <w:r>
        <w:t xml:space="preserve">0.08 kg CO2e - 2.40 kg CO2e = -2.32 kg CO2e</w:t>
      </w:r>
    </w:p>
    <w:p>
      <w:pPr>
        <w:pStyle w:val="FirstParagraph"/>
      </w:pPr>
      <w:r>
        <w:t xml:space="preserve">The presence of "Circular/Take-back Programs" (gtgxdyettu) reinforces the effectiveness of the high recyclability percentage and the potential for greater material circularity, leading to avoided emissions.</w:t>
      </w:r>
    </w:p>
    <w:p>
      <w:pPr>
        <w:pStyle w:val="BodyText"/>
      </w:pPr>
      <w:r>
        <w:rPr>
          <w:bCs/>
          <w:b/>
        </w:rPr>
        <w:t xml:space="preserve">Total Scope 3, Category 12 Emissions:</w:t>
      </w:r>
      <w:r>
        <w:t xml:space="preserve"> </w:t>
      </w:r>
      <w:r>
        <w:t xml:space="preserve">-2.32 kg CO2e</w:t>
      </w:r>
    </w:p>
    <w:bookmarkEnd w:id="37"/>
    <w:bookmarkEnd w:id="38"/>
    <w:bookmarkStart w:id="39" w:name="lsr-update-land-sector-and-removals"/>
    <w:p>
      <w:pPr>
        <w:pStyle w:val="Heading3"/>
      </w:pPr>
      <w:r>
        <w:t xml:space="preserve">3.4. 2026 LSR Update (Land Sector and Removals)</w:t>
      </w:r>
    </w:p>
    <w:p>
      <w:pPr>
        <w:pStyle w:val="FirstParagraph"/>
      </w:pPr>
      <w:r>
        <w:t xml:space="preserve">The Land Sector and Removals (LSR) Standard is acknowledged. For this product, a direct assessment of land use change or carbon removals specifically attributed to the raw material sourcing for Eco-Widget Pro components (e.g., specific forestry for cardboard, mining impacts) would require detailed primary data from upstream suppliers. In the absence of such specific data, the LSR principles are integrated qualitatively by recognizing the importance of sustainable sourcing. Future iterations of this PCF will seek to quantify these aspects where data becomes available.</w:t>
      </w:r>
    </w:p>
    <w:p>
      <w:r>
        <w:pict>
          <v:rect style="width:0;height:1.5pt" o:hralign="center" o:hrstd="t" o:hr="t"/>
        </w:pict>
      </w:r>
    </w:p>
    <w:bookmarkEnd w:id="39"/>
    <w:bookmarkEnd w:id="40"/>
    <w:bookmarkStart w:id="41" w:name="summary-of-product-carbon-footprint"/>
    <w:p>
      <w:pPr>
        <w:pStyle w:val="Heading2"/>
      </w:pPr>
      <w:r>
        <w:t xml:space="preserve">4. Summary of Product Carbon Footprint</w:t>
      </w:r>
    </w:p>
    <w:p>
      <w:pPr>
        <w:pStyle w:val="FirstParagraph"/>
      </w:pPr>
      <w:r>
        <w:t xml:space="preserve">The total Product Carbon Footprint for one functional unit of Eco-Widget Pro (mghuyuggxd) is summarized below, broken down by GHG Protocol scopes and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operations (negligible for product-level)</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during manufacturing</w:t>
            </w:r>
          </w:p>
        </w:tc>
        <w:tc>
          <w:tcPr/>
          <w:p>
            <w:pPr>
              <w:pStyle w:val="Compact"/>
              <w:jc w:val="left"/>
            </w:pPr>
            <w:r>
              <w:t xml:space="preserve">3.60</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11.79</w:t>
            </w:r>
          </w:p>
        </w:tc>
      </w:tr>
      <w:tr>
        <w:tc>
          <w:tcPr/>
          <w:p>
            <w:pPr>
              <w:pStyle w:val="Compact"/>
              <w:jc w:val="left"/>
            </w:pPr>
            <w:r>
              <w:t xml:space="preserve">Scope 3</w:t>
            </w: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0.24</w:t>
            </w:r>
          </w:p>
        </w:tc>
      </w:tr>
      <w:tr>
        <w:tc>
          <w:tcPr/>
          <w:p>
            <w:pPr>
              <w:pStyle w:val="Compact"/>
              <w:jc w:val="left"/>
            </w:pPr>
            <w:r>
              <w:t xml:space="preserve">Scope 3</w:t>
            </w:r>
          </w:p>
        </w:tc>
        <w:tc>
          <w:tcPr/>
          <w:p>
            <w:pPr>
              <w:pStyle w:val="Compact"/>
              <w:jc w:val="left"/>
            </w:pPr>
            <w:r>
              <w:t xml:space="preserve">Category 9</w:t>
            </w:r>
          </w:p>
        </w:tc>
        <w:tc>
          <w:tcPr/>
          <w:p>
            <w:pPr>
              <w:pStyle w:val="Compact"/>
              <w:jc w:val="left"/>
            </w:pPr>
            <w:r>
              <w:t xml:space="preserve">Downstream Transportation and Distribution (Last-Mile)</w:t>
            </w:r>
          </w:p>
        </w:tc>
        <w:tc>
          <w:tcPr/>
          <w:p>
            <w:pPr>
              <w:pStyle w:val="Compact"/>
              <w:jc w:val="left"/>
            </w:pPr>
            <w:r>
              <w:t xml:space="preserve">2.50</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-2.32</w:t>
            </w:r>
          </w:p>
        </w:tc>
      </w:tr>
      <w:tr>
        <w:tc>
          <w:tcPr>
            <w:gridSpan w:val="3"/>
          </w:tcPr>
          <w:p>
            <w:pPr>
              <w:pStyle w:val="Compact"/>
              <w:jc w:val="right"/>
            </w:pPr>
            <w:r>
              <w:t xml:space="preserve">TOTAL PRODUCT CARBON FOOTPRINT</w:t>
            </w:r>
          </w:p>
        </w:tc>
        <w:tc>
          <w:tcPr/>
          <w:p>
            <w:pPr>
              <w:pStyle w:val="Compact"/>
              <w:jc w:val="left"/>
            </w:pPr>
            <w:r>
              <w:t xml:space="preserve">35.81</w:t>
            </w:r>
          </w:p>
        </w:tc>
      </w:tr>
    </w:tbl>
    <w:p>
      <w:pPr>
        <w:pStyle w:val="BodyText"/>
      </w:pPr>
      <w:r>
        <w:rPr>
          <w:bCs/>
          <w:b/>
        </w:rPr>
        <w:t xml:space="preserve">Total Product Carbon Footprint per unit (mghuyuggxd): 35.81 kg CO2e</w:t>
      </w:r>
    </w:p>
    <w:p>
      <w:r>
        <w:pict>
          <v:rect style="width:0;height:1.5pt" o:hralign="center" o:hrstd="t" o:hr="t"/>
        </w:pict>
      </w:r>
    </w:p>
    <w:bookmarkEnd w:id="41"/>
    <w:bookmarkStart w:id="45" w:name="review-report---hotspots-and-reliability"/>
    <w:p>
      <w:pPr>
        <w:pStyle w:val="Heading2"/>
      </w:pPr>
      <w:r>
        <w:t xml:space="preserve">5. Review &amp; Report - Hotspots and Reliability</w:t>
      </w:r>
    </w:p>
    <w:bookmarkStart w:id="42" w:name="emission-hotspots"/>
    <w:p>
      <w:pPr>
        <w:pStyle w:val="Heading3"/>
      </w:pPr>
      <w:r>
        <w:t xml:space="preserve">5.1. Emission Hotspots</w:t>
      </w:r>
    </w:p>
    <w:p>
      <w:pPr>
        <w:pStyle w:val="FirstParagraph"/>
      </w:pPr>
      <w:r>
        <w:t xml:space="preserve">The analysis identifies the following primary emission hotspots for the Eco-Widget Pro:</w:t>
      </w:r>
    </w:p>
    <w:p>
      <w:pPr>
        <w:numPr>
          <w:ilvl w:val="0"/>
          <w:numId w:val="1011"/>
        </w:numPr>
        <w:pStyle w:val="Compact"/>
      </w:pPr>
      <w:r>
        <w:rPr>
          <w:bCs/>
          <w:b/>
        </w:rPr>
        <w:t xml:space="preserve">Use Phase (20.00 kg CO2e):</w:t>
      </w:r>
      <w:r>
        <w:t xml:space="preserve"> </w:t>
      </w:r>
      <w:r>
        <w:t xml:space="preserve">This is the most significant contributor to the product\'s PCF, primarily due to the energy consumed over its 5-year lifespan.</w:t>
      </w:r>
    </w:p>
    <w:p>
      <w:pPr>
        <w:numPr>
          <w:ilvl w:val="0"/>
          <w:numId w:val="1011"/>
        </w:numPr>
        <w:pStyle w:val="Compact"/>
      </w:pPr>
      <w:r>
        <w:rPr>
          <w:bCs/>
          <w:b/>
        </w:rPr>
        <w:t xml:space="preserve">Purchased Goods and Services (11.79 kg CO2e):</w:t>
      </w:r>
      <w:r>
        <w:t xml:space="preserve"> </w:t>
      </w:r>
      <w:r>
        <w:t xml:space="preserve">The raw materials, particularly the Aluminum Casing and Lithium-ion Battery, contribute substantially to the upstream footprint.</w:t>
      </w:r>
    </w:p>
    <w:p>
      <w:pPr>
        <w:numPr>
          <w:ilvl w:val="0"/>
          <w:numId w:val="1011"/>
        </w:numPr>
        <w:pStyle w:val="Compact"/>
      </w:pPr>
      <w:r>
        <w:rPr>
          <w:bCs/>
          <w:b/>
        </w:rPr>
        <w:t xml:space="preserve">Production Energy (3.60 kg CO2e):</w:t>
      </w:r>
      <w:r>
        <w:t xml:space="preserve"> </w:t>
      </w:r>
      <w:r>
        <w:t xml:space="preserve">While vepknnqlto utilizes 60% renewable energy, the remaining 40% from the Chinese grid still represents a notable portion.</w:t>
      </w:r>
    </w:p>
    <w:bookmarkEnd w:id="42"/>
    <w:bookmarkStart w:id="43" w:name="reliability-and-limitations"/>
    <w:p>
      <w:pPr>
        <w:pStyle w:val="Heading3"/>
      </w:pPr>
      <w:r>
        <w:t xml:space="preserve">5.2. Reliability and Limitations</w:t>
      </w:r>
    </w:p>
    <w:p>
      <w:pPr>
        <w:pStyle w:val="FirstParagraph"/>
      </w:pPr>
      <w:r>
        <w:t xml:space="preserve">The reliability of this PCF is high due to the use of specific BOM data and customized energy parameters. However, certain assumptions were necessary:</w:t>
      </w:r>
    </w:p>
    <w:p>
      <w:pPr>
        <w:numPr>
          <w:ilvl w:val="0"/>
          <w:numId w:val="1012"/>
        </w:numPr>
        <w:pStyle w:val="Compact"/>
      </w:pPr>
      <w:r>
        <w:rPr>
          <w:bCs/>
          <w:b/>
        </w:rPr>
        <w:t xml:space="preserve">Emission Factors:</w:t>
      </w:r>
      <w:r>
        <w:t xml:space="preserve"> </w:t>
      </w:r>
      <w:r>
        <w:t xml:space="preserve">While specific factors were used where provided, generic industry-average factors (e.g., Ecoinvent/DEFRA equivalents) were applied for general processes and transportation modes.</w:t>
      </w:r>
    </w:p>
    <w:p>
      <w:pPr>
        <w:numPr>
          <w:ilvl w:val="0"/>
          <w:numId w:val="1012"/>
        </w:numPr>
        <w:pStyle w:val="Compact"/>
      </w:pPr>
      <w:r>
        <w:rPr>
          <w:bCs/>
          <w:b/>
        </w:rPr>
        <w:t xml:space="preserve">Transport Allocation:</w:t>
      </w:r>
      <w:r>
        <w:t xml:space="preserve"> </w:t>
      </w:r>
      <w:r>
        <w:t xml:space="preserve">For last-mile delivery, emissions were directly attributed per unit over an illustrative distance, which can overstate impact if high load factors are achieved.</w:t>
      </w:r>
    </w:p>
    <w:p>
      <w:pPr>
        <w:numPr>
          <w:ilvl w:val="0"/>
          <w:numId w:val="1012"/>
        </w:numPr>
        <w:pStyle w:val="Compact"/>
      </w:pPr>
      <w:r>
        <w:rPr>
          <w:bCs/>
          <w:b/>
        </w:rPr>
        <w:t xml:space="preserve">LSR Data:</w:t>
      </w:r>
      <w:r>
        <w:t xml:space="preserve"> </w:t>
      </w:r>
      <w:r>
        <w:t xml:space="preserve">Specific land-use change and carbon removal data for upstream raw material extraction were not available and thus not quantified, though the methodology acknowledges their importance.</w:t>
      </w:r>
    </w:p>
    <w:p>
      <w:pPr>
        <w:numPr>
          <w:ilvl w:val="0"/>
          <w:numId w:val="1012"/>
        </w:numPr>
        <w:pStyle w:val="Compact"/>
      </w:pPr>
      <w:r>
        <w:rPr>
          <w:bCs/>
          <w:b/>
        </w:rPr>
        <w:t xml:space="preserve">Placeholder Data:</w:t>
      </w:r>
      <w:r>
        <w:t xml:space="preserve"> </w:t>
      </w:r>
      <w:r>
        <w:t xml:space="preserve">Values for "Transport Mode", "Transport Distance", "Last-Mile Delivery Channel", "Renewable Energy Usage", "Energy Intensity", "Product Lifespan", "Energy Consumption in Use", "Recyclability Percentage", and "Circular/Take-back Programs" were used as provided and directly incorporated into calculations. The provided BOM string \'sugdsrlr\' was interpreted as a structured table for material calculation.</w:t>
      </w:r>
    </w:p>
    <w:bookmarkEnd w:id="43"/>
    <w:bookmarkStart w:id="44" w:name="key-insights-and-recommendations"/>
    <w:p>
      <w:pPr>
        <w:pStyle w:val="Heading3"/>
      </w:pPr>
      <w:r>
        <w:t xml:space="preserve">5.3. Key Insights and Recommendations</w:t>
      </w:r>
    </w:p>
    <w:p>
      <w:pPr>
        <w:numPr>
          <w:ilvl w:val="0"/>
          <w:numId w:val="1013"/>
        </w:numPr>
        <w:pStyle w:val="Compact"/>
      </w:pPr>
      <w:r>
        <w:rPr>
          <w:bCs/>
          <w:b/>
        </w:rPr>
        <w:t xml:space="preserve">Optimize Use Phase:</w:t>
      </w:r>
      <w:r>
        <w:t xml:space="preserve"> </w:t>
      </w:r>
      <w:r>
        <w:t xml:space="preserve">Investigate options to reduce energy consumption during the product\'s use phase, or explore ways to provide renewable energy solutions to end-users.</w:t>
      </w:r>
    </w:p>
    <w:p>
      <w:pPr>
        <w:numPr>
          <w:ilvl w:val="0"/>
          <w:numId w:val="1013"/>
        </w:numPr>
        <w:pStyle w:val="Compact"/>
      </w:pPr>
      <w:r>
        <w:rPr>
          <w:bCs/>
          <w:b/>
        </w:rPr>
        <w:t xml:space="preserve">Material Sourcing:</w:t>
      </w:r>
      <w:r>
        <w:t xml:space="preserve"> </w:t>
      </w:r>
      <w:r>
        <w:t xml:space="preserve">Continue efforts to source lower-carbon materials, focusing on high-impact components like aluminum and batteries. Exploring more recycled content in materials where feasible (as already seen with plastic housing) is a strong strategy.</w:t>
      </w:r>
    </w:p>
    <w:p>
      <w:pPr>
        <w:numPr>
          <w:ilvl w:val="0"/>
          <w:numId w:val="1013"/>
        </w:numPr>
        <w:pStyle w:val="Compact"/>
      </w:pPr>
      <w:r>
        <w:rPr>
          <w:bCs/>
          <w:b/>
        </w:rPr>
        <w:t xml:space="preserve">Production Energy:</w:t>
      </w:r>
      <w:r>
        <w:t xml:space="preserve"> </w:t>
      </w:r>
      <w:r>
        <w:t xml:space="preserve">While 60% renewable energy is commendable, aiming for 100% renewable energy in manufacturing would further reduce Scope 2 emissions.</w:t>
      </w:r>
    </w:p>
    <w:p>
      <w:pPr>
        <w:numPr>
          <w:ilvl w:val="0"/>
          <w:numId w:val="1013"/>
        </w:numPr>
        <w:pStyle w:val="Compact"/>
      </w:pPr>
      <w:r>
        <w:rPr>
          <w:bCs/>
          <w:b/>
        </w:rPr>
        <w:t xml:space="preserve">Circular Economy:</w:t>
      </w:r>
      <w:r>
        <w:t xml:space="preserve"> </w:t>
      </w:r>
      <w:r>
        <w:t xml:space="preserve">Strengthen existing "Circular/Take-back Programs" to maximize material recovery and ensure high recyclability rates translate into actual closed-loop systems.</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Pro (mghuyuggxd)</dc:title>
  <dc:creator/>
  <dc:description>High-detail Product Carbon Footprint (PCF) analysis report for mghuyuggxd (Eco-Widget Pro) by vepknnqlto, conducted by Senior Sustainability Consultant romxlxuifv, adhering to GHG Protocol standards including 2026 LSR Update and 95% Scope 3 coverage.</dc:description>
  <dc:language>en</dc:language>
  <cp:keywords/>
  <dcterms:created xsi:type="dcterms:W3CDTF">2026-07-15T00:25:20Z</dcterms:created>
  <dcterms:modified xsi:type="dcterms:W3CDTF">2026-07-15T00:25:20Z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