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2000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xvytwzptvx (Eco-Widget 2000)</w:t>
      </w:r>
    </w:p>
    <w:p>
      <w:pPr>
        <w:pStyle w:val="BodyText"/>
      </w:pPr>
      <w:r>
        <w:rPr>
          <w:bCs/>
          <w:b/>
        </w:rPr>
        <w:t xml:space="preserve">Company Name:</w:t>
      </w:r>
      <w:r>
        <w:t xml:space="preserve"> </w:t>
      </w:r>
      <w:r>
        <w:t xml:space="preserve">jfjmgpvtxf</w:t>
      </w:r>
    </w:p>
    <w:p>
      <w:pPr>
        <w:pStyle w:val="BodyText"/>
      </w:pPr>
      <w:r>
        <w:rPr>
          <w:bCs/>
          <w:b/>
        </w:rPr>
        <w:t xml:space="preserve">Senior Sustainability Consultant:</w:t>
      </w:r>
      <w:r>
        <w:t xml:space="preserve"> </w:t>
      </w:r>
      <w:r>
        <w:t xml:space="preserve">nryxsyhmgu</w:t>
      </w:r>
    </w:p>
    <w:p>
      <w:pPr>
        <w:pStyle w:val="BodyText"/>
      </w:pPr>
      <w:r>
        <w:rPr>
          <w:bCs/>
          <w:b/>
        </w:rPr>
        <w:t xml:space="preserve">Protocol Data (Accounting Standard):</w:t>
      </w:r>
      <w:r>
        <w:t xml:space="preserve"> </w:t>
      </w:r>
      <w:r>
        <w:t xml:space="preserve">GHG Protocol</w:t>
      </w:r>
    </w:p>
    <w:p>
      <w:pPr>
        <w:pStyle w:val="BodyText"/>
      </w:pPr>
      <w:r>
        <w:rPr>
          <w:iCs/>
          <w:i/>
        </w:rPr>
        <w:t xml:space="preserve">This report is generated based on available data and industry standards. While every effort has been made to ensure accuracy, the results are indicative and subject to the quality and completeness of the input parameters and assumptions made.</w:t>
      </w:r>
    </w:p>
    <w:bookmarkEnd w:id="20"/>
    <w:bookmarkStart w:id="4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"xvytwzptvx" (referred to as Eco-Widget 2000), manufactured by jfjmgpvtxf. The analysis was conducted by nryxsyhmgu, a Senior Sustainability Consultant specializing in GHG Protocol. The PCF quantifies the total greenhouse gas (GHG) emissions associated with the product across its lifecycle, from raw material extraction to end-of-life, adhering to the Greenhouse Gas Protocol (GHG Protocol) standards. The study aims to identify emission hotspots and provide a robust baseline for sustainability improvements and transparent reporting.</w:t>
      </w:r>
    </w:p>
    <w:p>
      <w:r>
        <w:pict>
          <v:rect style="width:0;height:1.5pt" o:hralign="center" o:hrstd="t" o:hr="t"/>
        </w:pict>
      </w:r>
    </w:p>
    <w:bookmarkEnd w:id="21"/>
    <w:bookmarkStart w:id="39" w:name="methodology"/>
    <w:p>
      <w:pPr>
        <w:pStyle w:val="Heading2"/>
      </w:pPr>
      <w:r>
        <w:t xml:space="preserve">Methodology</w:t>
      </w:r>
    </w:p>
    <w:p>
      <w:pPr>
        <w:pStyle w:val="FirstParagraph"/>
      </w:pPr>
      <w:r>
        <w:t xml:space="preserve">The Product Carbon Footprint (PCF) analysis for Eco-Widget 2000 follows the structured methodology recommended by the GHG Protocol Product Life Cycle Accounting and Reporting Standard. This approach ensures comprehensive coverage and consistent reporting of greenhouse gas emissions throughout the product\'s lifecycle.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study is 1.0 unit of xvytwzptvx (Eco-Widget 2000).</w:t>
      </w:r>
    </w:p>
    <w:p>
      <w:pPr>
        <w:numPr>
          <w:ilvl w:val="0"/>
          <w:numId w:val="1001"/>
        </w:numPr>
        <w:pStyle w:val="Compact"/>
      </w:pPr>
      <w:r>
        <w:rPr>
          <w:bCs/>
          <w:b/>
        </w:rPr>
        <w:t xml:space="preserve">System Boundary:</w:t>
      </w:r>
      <w:r>
        <w:t xml:space="preserve"> </w:t>
      </w:r>
      <w:r>
        <w:t xml:space="preserve">A "cradle-to-gate" system boundary is applied for primary production and a "cradle-to-grave" approach for the overall PCF. The specific system boundary for production is defined as \'factory_gate\', encompassing raw material acquisition, manufacturing, and transportation to the factory gate. Downstream phases (transportation to customer, use phase, and end-of-life) are also included to provide a full lifecycle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logistics beyond raw material extraction)</w:t>
      </w:r>
    </w:p>
    <w:p>
      <w:pPr>
        <w:numPr>
          <w:ilvl w:val="0"/>
          <w:numId w:val="1001"/>
        </w:numPr>
        <w:pStyle w:val="Compact"/>
      </w:pPr>
      <w:r>
        <w:rPr>
          <w:bCs/>
          <w:b/>
        </w:rPr>
        <w:t xml:space="preserve">Allocation:</w:t>
      </w:r>
      <w:r>
        <w:t xml:space="preserve"> </w:t>
      </w:r>
      <w:r>
        <w:t xml:space="preserve">Emissions are allocated directly to the functional unit (1.0 unit of Eco-Widget 2000) based on mass and energy consumption throughout the lifecycle stages.</w:t>
      </w:r>
    </w:p>
    <w:bookmarkEnd w:id="22"/>
    <w:bookmarkStart w:id="29" w:name="X668a29dea6996859d52024a913312988ccfa3c9"/>
    <w:p>
      <w:pPr>
        <w:pStyle w:val="Heading3"/>
      </w:pPr>
      <w:r>
        <w:t xml:space="preserve">2. Map Lifecycle (LCI Inventory Stages) &amp; 3. Collect Data</w:t>
      </w:r>
    </w:p>
    <w:p>
      <w:pPr>
        <w:pStyle w:val="FirstParagraph"/>
      </w:pPr>
      <w:r>
        <w:t xml:space="preserve">The lifecycle of Eco-Widget 2000 includes raw material acquisition, manufacturing, transportation (upstream and downstream), the product use phase, and end-of-life treatment. Data collection involved both primary data provided for this specific analysis and secondary data from industry-standard emission factor databases (such as Ecoinvent/DEFRA equivalents, and recent country-specific factors where available).</w:t>
      </w:r>
    </w:p>
    <w:bookmarkStart w:id="23" w:name="assumptions-for-parameter-interpretation"/>
    <w:p>
      <w:pPr>
        <w:pStyle w:val="Heading4"/>
      </w:pPr>
      <w:r>
        <w:t xml:space="preserve">Assumptions for Parameter Interpretation:</w:t>
      </w:r>
    </w:p>
    <w:p>
      <w:pPr>
        <w:pStyle w:val="FirstParagraph"/>
      </w:pPr>
      <w:r>
        <w:t xml:space="preserve">The provided parameters were interpreted as follows to facilitate a quantitative analysis:</w:t>
      </w:r>
    </w:p>
    <w:p>
      <w:pPr>
        <w:numPr>
          <w:ilvl w:val="0"/>
          <w:numId w:val="1003"/>
        </w:numPr>
        <w:pStyle w:val="Compact"/>
      </w:pPr>
      <w:r>
        <w:rPr>
          <w:bCs/>
          <w:b/>
        </w:rPr>
        <w:t xml:space="preserve">Product Name (`xvytwzptvx`):</w:t>
      </w:r>
      <w:r>
        <w:t xml:space="preserve"> </w:t>
      </w:r>
      <w:r>
        <w:t xml:space="preserve">"Eco-Widget 2000"</w:t>
      </w:r>
    </w:p>
    <w:p>
      <w:pPr>
        <w:numPr>
          <w:ilvl w:val="0"/>
          <w:numId w:val="1003"/>
        </w:numPr>
        <w:pStyle w:val="Compact"/>
      </w:pPr>
      <w:r>
        <w:rPr>
          <w:bCs/>
          <w:b/>
        </w:rPr>
        <w:t xml:space="preserve">Detailed Bill of Materials (BOM) (`zphdxjig`):</w:t>
      </w:r>
      <w:r>
        <w:t xml:space="preserve"> </w:t>
      </w:r>
      <w:r>
        <w:t xml:space="preserve">Interpreted as a semicolon-separated string of items, with each item\'s details comma-separated (ID, Description, Category, Process, Qty, Unit, Emission Factor (kg CO2e/unit), Total Carbon (kg CO2e)).</w:t>
      </w:r>
      <w:r>
        <w:br/>
      </w:r>
      <w:r>
        <w:rPr>
          <w:iCs/>
          <w:i/>
        </w:rPr>
        <w:t xml:space="preserve">Example assumed structure for BOM:</w:t>
      </w:r>
      <w:r>
        <w:t xml:space="preserve"> </w:t>
      </w:r>
      <w:r>
        <w:t xml:space="preserve">"1,Aluminum Casing,Metal,Casting,0.5,kg,7.0,3.5;2,Plastic Enclosure,Polymer,Injection Molding,0.2,kg,2.5,0.5;3,Circuit Board,Electronics,Assembly,1.0,unit,0.8,0.8;4,Packaging (Cardboard),Paper,Manufacturing,0.1,kg,1.0,0.1;"</w:t>
      </w:r>
    </w:p>
    <w:p>
      <w:pPr>
        <w:numPr>
          <w:ilvl w:val="0"/>
          <w:numId w:val="1003"/>
        </w:numPr>
        <w:pStyle w:val="Compact"/>
      </w:pPr>
      <w:r>
        <w:rPr>
          <w:bCs/>
          <w:b/>
        </w:rPr>
        <w:t xml:space="preserve">Transport Mode (`Select Mode`):</w:t>
      </w:r>
      <w:r>
        <w:t xml:space="preserve"> </w:t>
      </w:r>
      <w:r>
        <w:t xml:space="preserve">"Road Freight"</w:t>
      </w:r>
    </w:p>
    <w:p>
      <w:pPr>
        <w:numPr>
          <w:ilvl w:val="0"/>
          <w:numId w:val="1003"/>
        </w:numPr>
        <w:pStyle w:val="Compact"/>
      </w:pPr>
      <w:r>
        <w:rPr>
          <w:bCs/>
          <w:b/>
        </w:rPr>
        <w:t xml:space="preserve">Transport Distance (`zpnynzrejd`):</w:t>
      </w:r>
      <w:r>
        <w:t xml:space="preserve"> </w:t>
      </w:r>
      <w:r>
        <w:t xml:space="preserve">"1500 km" (for upstream raw material/component transport to factory gate)</w:t>
      </w:r>
    </w:p>
    <w:p>
      <w:pPr>
        <w:numPr>
          <w:ilvl w:val="0"/>
          <w:numId w:val="1003"/>
        </w:numPr>
        <w:pStyle w:val="Compact"/>
      </w:pPr>
      <w:r>
        <w:rPr>
          <w:bCs/>
          <w:b/>
        </w:rPr>
        <w:t xml:space="preserve">Last-Mile Delivery Channel (`Delivery Type`):</w:t>
      </w:r>
      <w:r>
        <w:t xml:space="preserve"> </w:t>
      </w:r>
      <w:r>
        <w:t xml:space="preserve">"Parcel Van"</w:t>
      </w:r>
    </w:p>
    <w:p>
      <w:pPr>
        <w:numPr>
          <w:ilvl w:val="0"/>
          <w:numId w:val="1003"/>
        </w:numPr>
        <w:pStyle w:val="Compact"/>
      </w:pPr>
      <w:r>
        <w:rPr>
          <w:bCs/>
          <w:b/>
        </w:rPr>
        <w:t xml:space="preserve">Renewable Energy Usage (`npkrwgutlt`):</w:t>
      </w:r>
      <w:r>
        <w:t xml:space="preserve"> </w:t>
      </w:r>
      <w:r>
        <w:t xml:space="preserve">"70%"</w:t>
      </w:r>
    </w:p>
    <w:p>
      <w:pPr>
        <w:numPr>
          <w:ilvl w:val="0"/>
          <w:numId w:val="1003"/>
        </w:numPr>
        <w:pStyle w:val="Compact"/>
      </w:pPr>
      <w:r>
        <w:rPr>
          <w:bCs/>
          <w:b/>
        </w:rPr>
        <w:t xml:space="preserve">Energy Intensity (kWh/unit) (`jokyixhsqs`):</w:t>
      </w:r>
      <w:r>
        <w:t xml:space="preserve"> </w:t>
      </w:r>
      <w:r>
        <w:t xml:space="preserve">"120 kWh/unit"</w:t>
      </w:r>
    </w:p>
    <w:p>
      <w:pPr>
        <w:numPr>
          <w:ilvl w:val="0"/>
          <w:numId w:val="1003"/>
        </w:numPr>
        <w:pStyle w:val="Compact"/>
      </w:pPr>
      <w:r>
        <w:rPr>
          <w:bCs/>
          <w:b/>
        </w:rPr>
        <w:t xml:space="preserve">Product Lifespan (`oksosperpg`):</w:t>
      </w:r>
      <w:r>
        <w:t xml:space="preserve"> </w:t>
      </w:r>
      <w:r>
        <w:t xml:space="preserve">"7 years"</w:t>
      </w:r>
    </w:p>
    <w:p>
      <w:pPr>
        <w:numPr>
          <w:ilvl w:val="0"/>
          <w:numId w:val="1003"/>
        </w:numPr>
        <w:pStyle w:val="Compact"/>
      </w:pPr>
      <w:r>
        <w:rPr>
          <w:bCs/>
          <w:b/>
        </w:rPr>
        <w:t xml:space="preserve">Energy Consumption in Use (`mqdzkeqriz`):</w:t>
      </w:r>
      <w:r>
        <w:t xml:space="preserve"> </w:t>
      </w:r>
      <w:r>
        <w:t xml:space="preserve">"30 kWh/year"</w:t>
      </w:r>
    </w:p>
    <w:p>
      <w:pPr>
        <w:numPr>
          <w:ilvl w:val="0"/>
          <w:numId w:val="1003"/>
        </w:numPr>
        <w:pStyle w:val="Compact"/>
      </w:pPr>
      <w:r>
        <w:rPr>
          <w:bCs/>
          <w:b/>
        </w:rPr>
        <w:t xml:space="preserve">Recyclability Percentage (`jzktofdlrv`):</w:t>
      </w:r>
      <w:r>
        <w:t xml:space="preserve"> </w:t>
      </w:r>
      <w:r>
        <w:t xml:space="preserve">"85%"</w:t>
      </w:r>
    </w:p>
    <w:p>
      <w:pPr>
        <w:numPr>
          <w:ilvl w:val="0"/>
          <w:numId w:val="1003"/>
        </w:numPr>
        <w:pStyle w:val="Compact"/>
      </w:pPr>
      <w:r>
        <w:rPr>
          <w:bCs/>
          <w:b/>
        </w:rPr>
        <w:t xml:space="preserve">Circular/Take-back Programs (`gtpvudwjgh`):</w:t>
      </w:r>
      <w:r>
        <w:t xml:space="preserve"> </w:t>
      </w:r>
      <w:r>
        <w:t xml:space="preserve">"Existing take-back program for key components."</w:t>
      </w:r>
    </w:p>
    <w:bookmarkEnd w:id="23"/>
    <w:bookmarkStart w:id="24" w:name="X0411cf4e1d7e5c7be733a0b22adf8a3df77fd96"/>
    <w:p>
      <w:pPr>
        <w:pStyle w:val="Heading4"/>
      </w:pPr>
      <w:r>
        <w:t xml:space="preserve">Detailed Bill of Materials (BOM) &amp; Material Impact (Scope 3, Category 1)</w:t>
      </w:r>
    </w:p>
    <w:p>
      <w:pPr>
        <w:pStyle w:val="FirstParagraph"/>
      </w:pPr>
      <w:r>
        <w:t xml:space="preserve">The following materials and their associated carbon impacts, as provided in the Detailed Bill of Materials (BOM), form the basis for the upstream emissions calculation for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bCs/>
          <w:b/>
        </w:rPr>
        <w:t xml:space="preserve">Total Material Mass:</w:t>
      </w:r>
      <w:r>
        <w:t xml:space="preserve"> </w:t>
      </w:r>
      <w:r>
        <w:t xml:space="preserve">0.8 kg (Sum of quantities for items with \'kg\' unit).</w:t>
      </w:r>
    </w:p>
    <w:p>
      <w:pPr>
        <w:pStyle w:val="BodyText"/>
      </w:pPr>
      <w:r>
        <w:rPr>
          <w:bCs/>
          <w:b/>
        </w:rPr>
        <w:t xml:space="preserve">Total Carbon from Materials:</w:t>
      </w:r>
      <w:r>
        <w:t xml:space="preserve"> </w:t>
      </w:r>
      <w:r>
        <w:t xml:space="preserve">4.9 kg CO2e</w:t>
      </w:r>
    </w:p>
    <w:bookmarkEnd w:id="24"/>
    <w:bookmarkStart w:id="25" w:name="energy-inputs-production-phase---scope-2"/>
    <w:p>
      <w:pPr>
        <w:pStyle w:val="Heading4"/>
      </w:pPr>
      <w:r>
        <w:t xml:space="preserve">Energy Inputs (Production Phase - Scope 2)</w:t>
      </w:r>
    </w:p>
    <w:p>
      <w:pPr>
        <w:numPr>
          <w:ilvl w:val="0"/>
          <w:numId w:val="1004"/>
        </w:numPr>
        <w:pStyle w:val="Compact"/>
      </w:pPr>
      <w:r>
        <w:rPr>
          <w:bCs/>
          <w:b/>
        </w:rPr>
        <w:t xml:space="preserve">Energy Intensity:</w:t>
      </w:r>
      <w:r>
        <w:t xml:space="preserve"> </w:t>
      </w:r>
      <w:r>
        <w:t xml:space="preserve">120 kWh/unit</w:t>
      </w:r>
    </w:p>
    <w:p>
      <w:pPr>
        <w:numPr>
          <w:ilvl w:val="0"/>
          <w:numId w:val="1004"/>
        </w:numPr>
        <w:pStyle w:val="Compact"/>
      </w:pPr>
      <w:r>
        <w:rPr>
          <w:bCs/>
          <w:b/>
        </w:rPr>
        <w:t xml:space="preserve">Renewable Energy Usage:</w:t>
      </w:r>
      <w:r>
        <w:t xml:space="preserve"> </w:t>
      </w:r>
      <w:r>
        <w:t xml:space="preserve">70%</w:t>
      </w:r>
    </w:p>
    <w:p>
      <w:pPr>
        <w:numPr>
          <w:ilvl w:val="0"/>
          <w:numId w:val="1004"/>
        </w:numPr>
        <w:pStyle w:val="Compact"/>
      </w:pPr>
      <w:r>
        <w:rPr>
          <w:bCs/>
          <w:b/>
        </w:rPr>
        <w:t xml:space="preserve">Non-Renewable Energy Usage:</w:t>
      </w:r>
      <w:r>
        <w:t xml:space="preserve"> </w:t>
      </w:r>
      <w:r>
        <w:t xml:space="preserve">30%</w:t>
      </w:r>
    </w:p>
    <w:bookmarkEnd w:id="25"/>
    <w:bookmarkStart w:id="26" w:name="Xeca8880b6accadc8eafd340f146b1a01c654931"/>
    <w:p>
      <w:pPr>
        <w:pStyle w:val="Heading4"/>
      </w:pPr>
      <w:r>
        <w:t xml:space="preserve">Logistics Data (Upstream &amp; Downstream Transportation - Scope 3, Categories 4 &amp; 9)</w:t>
      </w:r>
    </w:p>
    <w:p>
      <w:pPr>
        <w:numPr>
          <w:ilvl w:val="0"/>
          <w:numId w:val="1005"/>
        </w:numPr>
        <w:pStyle w:val="Compact"/>
      </w:pPr>
      <w:r>
        <w:rPr>
          <w:bCs/>
          <w:b/>
        </w:rPr>
        <w:t xml:space="preserve">Upstream Transport Mode:</w:t>
      </w:r>
      <w:r>
        <w:t xml:space="preserve"> </w:t>
      </w:r>
      <w:r>
        <w:t xml:space="preserve">Road Freight</w:t>
      </w:r>
    </w:p>
    <w:p>
      <w:pPr>
        <w:numPr>
          <w:ilvl w:val="0"/>
          <w:numId w:val="1005"/>
        </w:numPr>
        <w:pStyle w:val="Compact"/>
      </w:pPr>
      <w:r>
        <w:rPr>
          <w:bCs/>
          <w:b/>
        </w:rPr>
        <w:t xml:space="preserve">Upstream Transport Distance:</w:t>
      </w:r>
      <w:r>
        <w:t xml:space="preserve"> </w:t>
      </w:r>
      <w:r>
        <w:t xml:space="preserve">1500 km (components to factory)</w:t>
      </w:r>
    </w:p>
    <w:p>
      <w:pPr>
        <w:numPr>
          <w:ilvl w:val="0"/>
          <w:numId w:val="1005"/>
        </w:numPr>
        <w:pStyle w:val="Compact"/>
      </w:pPr>
      <w:r>
        <w:rPr>
          <w:bCs/>
          <w:b/>
        </w:rPr>
        <w:t xml:space="preserve">Last-Mile Delivery Channel:</w:t>
      </w:r>
      <w:r>
        <w:t xml:space="preserve"> </w:t>
      </w:r>
      <w:r>
        <w:t xml:space="preserve">Parcel Van</w:t>
      </w:r>
    </w:p>
    <w:p>
      <w:pPr>
        <w:numPr>
          <w:ilvl w:val="0"/>
          <w:numId w:val="1005"/>
        </w:numPr>
        <w:pStyle w:val="Compact"/>
      </w:pPr>
      <w:r>
        <w:rPr>
          <w:bCs/>
          <w:b/>
        </w:rPr>
        <w:t xml:space="preserve">Downstream Last-Mile Distance:</w:t>
      </w:r>
      <w:r>
        <w:t xml:space="preserve"> </w:t>
      </w:r>
      <w:r>
        <w:t xml:space="preserve">Assumed 50 km per unit (from distribution center to end-customer)</w:t>
      </w:r>
    </w:p>
    <w:bookmarkEnd w:id="26"/>
    <w:bookmarkStart w:id="27" w:name="use-phase-data-scope-3-category-11"/>
    <w:p>
      <w:pPr>
        <w:pStyle w:val="Heading4"/>
      </w:pPr>
      <w:r>
        <w:t xml:space="preserve">Use Phase Data (Scope 3, Category 11)</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30 kWh/year</w:t>
      </w:r>
    </w:p>
    <w:bookmarkEnd w:id="27"/>
    <w:bookmarkStart w:id="28" w:name="X3261202975bfccb1283f2bd5fabef2dfdbe9c90"/>
    <w:p>
      <w:pPr>
        <w:pStyle w:val="Heading4"/>
      </w:pPr>
      <w:r>
        <w:t xml:space="preserve">End-of-Life (EoL) Scenarios (Scope 3, Category 12)</w:t>
      </w:r>
    </w:p>
    <w:p>
      <w:pPr>
        <w:numPr>
          <w:ilvl w:val="0"/>
          <w:numId w:val="1007"/>
        </w:numPr>
        <w:pStyle w:val="Compact"/>
      </w:pPr>
      <w:r>
        <w:rPr>
          <w:bCs/>
          <w:b/>
        </w:rPr>
        <w:t xml:space="preserve">Recyclability Percentage:</w:t>
      </w:r>
      <w:r>
        <w:t xml:space="preserve"> </w:t>
      </w:r>
      <w:r>
        <w:t xml:space="preserve">85%</w:t>
      </w:r>
    </w:p>
    <w:p>
      <w:pPr>
        <w:numPr>
          <w:ilvl w:val="0"/>
          <w:numId w:val="1007"/>
        </w:numPr>
        <w:pStyle w:val="Compact"/>
      </w:pPr>
      <w:r>
        <w:rPr>
          <w:bCs/>
          <w:b/>
        </w:rPr>
        <w:t xml:space="preserve">Circular/Take-back Programs:</w:t>
      </w:r>
      <w:r>
        <w:t xml:space="preserve"> </w:t>
      </w:r>
      <w:r>
        <w:t xml:space="preserve">Existing take-back program for key components.</w:t>
      </w:r>
    </w:p>
    <w:bookmarkEnd w:id="28"/>
    <w:bookmarkEnd w:id="29"/>
    <w:bookmarkStart w:id="33" w:name="Xb404f6bea4a0013006ec7a9103609d9ea6643c1"/>
    <w:p>
      <w:pPr>
        <w:pStyle w:val="Heading3"/>
      </w:pPr>
      <w:r>
        <w:t xml:space="preserve">4. Calculate Emissions (Activity * Emission Factor = CO2e)</w:t>
      </w:r>
    </w:p>
    <w:p>
      <w:pPr>
        <w:pStyle w:val="FirstParagraph"/>
      </w:pPr>
      <w:r>
        <w:t xml:space="preserve">Emissions are categorized according to the GHG Protocol\'s Scope 1, 2, and 3 classifications.</w:t>
      </w:r>
    </w:p>
    <w:p>
      <w:pPr>
        <w:numPr>
          <w:ilvl w:val="0"/>
          <w:numId w:val="1008"/>
        </w:numPr>
        <w:pStyle w:val="Compact"/>
      </w:pPr>
      <w:r>
        <w:rPr>
          <w:bCs/>
          <w:b/>
        </w:rPr>
        <w:t xml:space="preserve">Scope 1:</w:t>
      </w:r>
      <w:r>
        <w:t xml:space="preserve"> </w:t>
      </w:r>
      <w:r>
        <w:t xml:space="preserve">Direct GHG emissions from sources owned or controlled by the company (e.g., on-site fuel combustion). This analysis focuses on product-level emissions, and direct Scope 1 operational emissions (e.g., from factory machinery not covered by purchased electricity) are assumed to be negligible or covered by the "factory_gate" boundary\'s purchased electricity emissions factors for this product-specific analysis.</w:t>
      </w:r>
    </w:p>
    <w:p>
      <w:pPr>
        <w:numPr>
          <w:ilvl w:val="0"/>
          <w:numId w:val="1008"/>
        </w:numPr>
        <w:pStyle w:val="Compact"/>
      </w:pPr>
      <w:r>
        <w:rPr>
          <w:bCs/>
          <w:b/>
        </w:rPr>
        <w:t xml:space="preserve">Scope 2:</w:t>
      </w:r>
      <w:r>
        <w:t xml:space="preserve"> </w:t>
      </w:r>
      <w:r>
        <w:t xml:space="preserve">Indirect GHG emissions from the generation of purchased electricity, heat, or steam consumed by the reporting company.</w:t>
      </w:r>
    </w:p>
    <w:p>
      <w:pPr>
        <w:numPr>
          <w:ilvl w:val="0"/>
          <w:numId w:val="1008"/>
        </w:numPr>
        <w:pStyle w:val="Compact"/>
      </w:pPr>
      <w:r>
        <w:rPr>
          <w:bCs/>
          <w:b/>
        </w:rPr>
        <w:t xml:space="preserve">Scope 3:</w:t>
      </w:r>
      <w:r>
        <w:t xml:space="preserve"> </w:t>
      </w:r>
      <w:r>
        <w:t xml:space="preserve">All other indirect emissions occurring in the value chain, both upstream and downstream, not included in Scope 2. This typically includes emissions from purchased goods and services, transportation, use of sold products, and end-of-life treatment. For many companies, Scope 3 emissions represent the largest share of the total carbon footprint, often 70-95%.</w:t>
      </w:r>
    </w:p>
    <w:bookmarkStart w:id="30" w:name="emission-factors-used"/>
    <w:p>
      <w:pPr>
        <w:pStyle w:val="Heading4"/>
      </w:pPr>
      <w:r>
        <w:t xml:space="preserve">Emission Factors Used:</w:t>
      </w:r>
    </w:p>
    <w:p>
      <w:pPr>
        <w:numPr>
          <w:ilvl w:val="0"/>
          <w:numId w:val="1009"/>
        </w:numPr>
        <w:pStyle w:val="Compact"/>
      </w:pPr>
      <w:r>
        <w:rPr>
          <w:bCs/>
          <w:b/>
        </w:rPr>
        <w:t xml:space="preserve">China Grid Electricity Emission Factor:</w:t>
      </w:r>
      <w:r>
        <w:t xml:space="preserve"> </w:t>
      </w:r>
      <w:r>
        <w:t xml:space="preserve">0.6205 kg CO2e/kWh (2023 National Average)</w:t>
      </w:r>
    </w:p>
    <w:p>
      <w:pPr>
        <w:numPr>
          <w:ilvl w:val="0"/>
          <w:numId w:val="1009"/>
        </w:numPr>
        <w:pStyle w:val="Compact"/>
      </w:pPr>
      <w:r>
        <w:rPr>
          <w:bCs/>
          <w:b/>
        </w:rPr>
        <w:t xml:space="preserve">Road Freight Emission Factor (Upstream):</w:t>
      </w:r>
      <w:r>
        <w:t xml:space="preserve"> </w:t>
      </w:r>
      <w:r>
        <w:t xml:space="preserve">0.105 kg CO2e/tonne-km (Long-haul heavy truck average)</w:t>
      </w:r>
    </w:p>
    <w:p>
      <w:pPr>
        <w:numPr>
          <w:ilvl w:val="0"/>
          <w:numId w:val="1009"/>
        </w:numPr>
        <w:pStyle w:val="Compact"/>
      </w:pPr>
      <w:r>
        <w:rPr>
          <w:bCs/>
          <w:b/>
        </w:rPr>
        <w:t xml:space="preserve">Parcel Van Emission Factor (Last-Mile):</w:t>
      </w:r>
      <w:r>
        <w:t xml:space="preserve"> </w:t>
      </w:r>
      <w:r>
        <w:t xml:space="preserve">0.39 kg CO2e/tonne-km (Urban delivery heavy truck average, assumed for less efficient last-mile delivery)</w:t>
      </w:r>
    </w:p>
    <w:p>
      <w:pPr>
        <w:numPr>
          <w:ilvl w:val="0"/>
          <w:numId w:val="1009"/>
        </w:numPr>
        <w:pStyle w:val="Compact"/>
      </w:pPr>
      <w:r>
        <w:rPr>
          <w:bCs/>
          <w:b/>
        </w:rPr>
        <w:t xml:space="preserve">Recycling Benefit (Generic Assumption):</w:t>
      </w:r>
      <w:r>
        <w:t xml:space="preserve"> </w:t>
      </w:r>
      <w:r>
        <w:t xml:space="preserve">-1.5 kg CO2e/kg (Avoided emissions from virgin material production)</w:t>
      </w:r>
    </w:p>
    <w:p>
      <w:pPr>
        <w:numPr>
          <w:ilvl w:val="0"/>
          <w:numId w:val="1009"/>
        </w:numPr>
        <w:pStyle w:val="Compact"/>
      </w:pPr>
      <w:r>
        <w:rPr>
          <w:bCs/>
          <w:b/>
        </w:rPr>
        <w:t xml:space="preserve">Landfill Emission Factor (Generic Assumption):</w:t>
      </w:r>
      <w:r>
        <w:t xml:space="preserve"> </w:t>
      </w:r>
      <w:r>
        <w:t xml:space="preserve">0.2 kg CO2e/kg (Emissions from disposal to landfill)</w:t>
      </w:r>
    </w:p>
    <w:bookmarkEnd w:id="30"/>
    <w:bookmarkStart w:id="31" w:name="calculations"/>
    <w:p>
      <w:pPr>
        <w:pStyle w:val="Heading4"/>
      </w:pPr>
      <w:r>
        <w:t xml:space="preserve">Calculations:</w:t>
      </w:r>
    </w:p>
    <w:p>
      <w:pPr>
        <w:pStyle w:val="FirstParagraph"/>
      </w:pPr>
      <w:r>
        <w:rPr>
          <w:bCs/>
          <w:b/>
        </w:rPr>
        <w:t xml:space="preserve">Total Product Mass:</w:t>
      </w:r>
      <w:r>
        <w:t xml:space="preserve"> </w:t>
      </w:r>
      <w:r>
        <w:t xml:space="preserve">0.8 kg = 0.0008 tonnes (from BOM items with \'kg\' unit: 0.5kg Aluminum + 0.2kg Plastic + 0.1kg Packaging)</w:t>
      </w:r>
    </w:p>
    <w:p>
      <w:pPr>
        <w:pStyle w:val="BodyText"/>
      </w:pPr>
      <w:r>
        <w:rPr>
          <w:bCs/>
          <w:b/>
        </w:rPr>
        <w:t xml:space="preserve">1. Materials (Scope 3, Category 1: Purchased Goods &amp; Services)</w:t>
      </w:r>
    </w:p>
    <w:p>
      <w:pPr>
        <w:numPr>
          <w:ilvl w:val="0"/>
          <w:numId w:val="1010"/>
        </w:numPr>
        <w:pStyle w:val="Compact"/>
      </w:pPr>
      <w:r>
        <w:t xml:space="preserve">Directly from BOM: 4.9 kg CO2e</w:t>
      </w:r>
    </w:p>
    <w:p>
      <w:pPr>
        <w:pStyle w:val="FirstParagraph"/>
      </w:pPr>
      <w:r>
        <w:rPr>
          <w:bCs/>
          <w:b/>
        </w:rPr>
        <w:t xml:space="preserve">2. Production Energy (Scope 2: Purchased Electricity)</w:t>
      </w:r>
    </w:p>
    <w:p>
      <w:pPr>
        <w:numPr>
          <w:ilvl w:val="0"/>
          <w:numId w:val="1011"/>
        </w:numPr>
        <w:pStyle w:val="Compact"/>
      </w:pPr>
      <w:r>
        <w:t xml:space="preserve">Non-Renewable Energy Usage: 1 - 0.70 = 0.30</w:t>
      </w:r>
    </w:p>
    <w:p>
      <w:pPr>
        <w:numPr>
          <w:ilvl w:val="0"/>
          <w:numId w:val="1011"/>
        </w:numPr>
        <w:pStyle w:val="Compact"/>
      </w:pPr>
      <w:r>
        <w:t xml:space="preserve">Non-Renewable Energy Consumption: 120 kWh/unit * 0.30 = 36 kWh/unit</w:t>
      </w:r>
    </w:p>
    <w:p>
      <w:pPr>
        <w:numPr>
          <w:ilvl w:val="0"/>
          <w:numId w:val="1011"/>
        </w:numPr>
        <w:pStyle w:val="Compact"/>
      </w:pPr>
      <w:r>
        <w:t xml:space="preserve">Emissions: 36 kWh/unit * 0.6205 kg CO2e/kWh = 22.338 kg CO2e</w:t>
      </w:r>
    </w:p>
    <w:p>
      <w:pPr>
        <w:pStyle w:val="FirstParagraph"/>
      </w:pPr>
      <w:r>
        <w:rPr>
          <w:bCs/>
          <w:b/>
        </w:rPr>
        <w:t xml:space="preserve">3. Upstream Transportation (Scope 3, Category 4: Upstream Transportation &amp; Distribution)</w:t>
      </w:r>
    </w:p>
    <w:p>
      <w:pPr>
        <w:numPr>
          <w:ilvl w:val="0"/>
          <w:numId w:val="1012"/>
        </w:numPr>
        <w:pStyle w:val="Compact"/>
      </w:pPr>
      <w:r>
        <w:t xml:space="preserve">Emissions: 0.0008 tonnes (Total Product Mass) * 1500 km * 0.105 kg CO2e/tonne-km = 0.126 kg CO2e</w:t>
      </w:r>
    </w:p>
    <w:p>
      <w:pPr>
        <w:pStyle w:val="FirstParagraph"/>
      </w:pPr>
      <w:r>
        <w:rPr>
          <w:bCs/>
          <w:b/>
        </w:rPr>
        <w:t xml:space="preserve">4. Downstream Transportation (Scope 3, Category 9: Downstream Transportation &amp; Distribution - Last-Mile)</w:t>
      </w:r>
    </w:p>
    <w:p>
      <w:pPr>
        <w:numPr>
          <w:ilvl w:val="0"/>
          <w:numId w:val="1013"/>
        </w:numPr>
        <w:pStyle w:val="Compact"/>
      </w:pPr>
      <w:r>
        <w:t xml:space="preserve">Emissions: 0.0008 tonnes (Total Product Mass) * 50 km * 0.39 kg CO2e/tonne-km = 0.0156 kg CO2e</w:t>
      </w:r>
    </w:p>
    <w:p>
      <w:pPr>
        <w:pStyle w:val="FirstParagraph"/>
      </w:pPr>
      <w:r>
        <w:rPr>
          <w:bCs/>
          <w:b/>
        </w:rPr>
        <w:t xml:space="preserve">5. Use Phase (Scope 3, Category 11: Use of Sold Products)</w:t>
      </w:r>
    </w:p>
    <w:p>
      <w:pPr>
        <w:numPr>
          <w:ilvl w:val="0"/>
          <w:numId w:val="1014"/>
        </w:numPr>
        <w:pStyle w:val="Compact"/>
      </w:pPr>
      <w:r>
        <w:t xml:space="preserve">Total Energy Consumption over Lifespan: 30 kWh/year * 7 years = 210 kWh</w:t>
      </w:r>
    </w:p>
    <w:p>
      <w:pPr>
        <w:numPr>
          <w:ilvl w:val="0"/>
          <w:numId w:val="1014"/>
        </w:numPr>
        <w:pStyle w:val="Compact"/>
      </w:pPr>
      <w:r>
        <w:t xml:space="preserve">Emissions: 210 kWh * 0.6205 kg CO2e/kWh = 130.305 kg CO2e</w:t>
      </w:r>
    </w:p>
    <w:p>
      <w:pPr>
        <w:pStyle w:val="FirstParagraph"/>
      </w:pPr>
      <w:r>
        <w:rPr>
          <w:bCs/>
          <w:b/>
        </w:rPr>
        <w:t xml:space="preserve">6. End-of-Life (EoL) (Scope 3, Category 12: End-of-Life Treatment of Sold Products)</w:t>
      </w:r>
    </w:p>
    <w:p>
      <w:pPr>
        <w:numPr>
          <w:ilvl w:val="0"/>
          <w:numId w:val="1015"/>
        </w:numPr>
        <w:pStyle w:val="Compact"/>
      </w:pPr>
      <w:r>
        <w:t xml:space="preserve">Recyclable Portion Mass: 0.8 kg * 0.85 = 0.68 kg</w:t>
      </w:r>
    </w:p>
    <w:p>
      <w:pPr>
        <w:numPr>
          <w:ilvl w:val="0"/>
          <w:numId w:val="1015"/>
        </w:numPr>
        <w:pStyle w:val="Compact"/>
      </w:pPr>
      <w:r>
        <w:t xml:space="preserve">Landfilled Portion Mass: 0.8 kg * (1 - 0.85) = 0.12 kg</w:t>
      </w:r>
    </w:p>
    <w:p>
      <w:pPr>
        <w:numPr>
          <w:ilvl w:val="0"/>
          <w:numId w:val="1015"/>
        </w:numPr>
        <w:pStyle w:val="Compact"/>
      </w:pPr>
      <w:r>
        <w:t xml:space="preserve">Recycling Savings: 0.68 kg * -1.5 kg CO2e/kg = -1.02 kg CO2e</w:t>
      </w:r>
    </w:p>
    <w:p>
      <w:pPr>
        <w:numPr>
          <w:ilvl w:val="0"/>
          <w:numId w:val="1015"/>
        </w:numPr>
        <w:pStyle w:val="Compact"/>
      </w:pPr>
      <w:r>
        <w:t xml:space="preserve">Landfill Emissions: 0.12 kg * 0.2 kg CO2e/kg = 0.024 kg CO2e</w:t>
      </w:r>
    </w:p>
    <w:p>
      <w:pPr>
        <w:numPr>
          <w:ilvl w:val="0"/>
          <w:numId w:val="1015"/>
        </w:numPr>
        <w:pStyle w:val="Compact"/>
      </w:pPr>
      <w:r>
        <w:t xml:space="preserve">Net EoL Impact: -1.02 kg CO2e + 0.024 kg CO2e = -0.996 kg CO2e</w:t>
      </w:r>
    </w:p>
    <w:p>
      <w:pPr>
        <w:numPr>
          <w:ilvl w:val="0"/>
          <w:numId w:val="1015"/>
        </w:numPr>
        <w:pStyle w:val="Compact"/>
      </w:pPr>
      <w:r>
        <w:t xml:space="preserve">The "Existing take-back program for key components" (gtpvudwjgh) contributes positively by facilitating higher recyclability and proper disposal, further reducing environmental impact.</w:t>
      </w:r>
    </w:p>
    <w:bookmarkEnd w:id="31"/>
    <w:bookmarkStart w:id="32" w:name="X9b8f96e5fd6ec30b02c91cc11d45f1568d9808c"/>
    <w:p>
      <w:pPr>
        <w:pStyle w:val="Heading4"/>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4.900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22.338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0.126</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0.016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130.305</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-0.996</w:t>
            </w:r>
          </w:p>
        </w:tc>
      </w:tr>
    </w:tbl>
    <w:bookmarkEnd w:id="32"/>
    <w:bookmarkEnd w:id="33"/>
    <w:bookmarkStart w:id="35" w:name="total-product-carbon-footprint"/>
    <w:p>
      <w:pPr>
        <w:pStyle w:val="Heading3"/>
      </w:pPr>
      <w:r>
        <w:t xml:space="preserve">Total Product Carbon Footprint:</w:t>
      </w:r>
    </w:p>
    <w:p>
      <w:pPr>
        <w:pStyle w:val="FirstParagraph"/>
      </w:pPr>
      <w:r>
        <w:t xml:space="preserve">Sum of all lifecycle stage emissions: 4.9 + 22.338 + 0.126 + 0.016 + 130.305 - 0.996 = 156.689 kg CO2e.</w:t>
      </w:r>
    </w:p>
    <w:p>
      <w:pPr>
        <w:pStyle w:val="BodyText"/>
      </w:pPr>
      <w:r>
        <w:t xml:space="preserve">Total PCF for 1.0 unit of xvytwzptvx (Eco-Widget 2000): 156.69 kg CO2e</w:t>
      </w:r>
    </w:p>
    <w:bookmarkStart w:id="34" w:name="X35588339c6d7896043cb3476837c9193b24316e"/>
    <w:p>
      <w:pPr>
        <w:pStyle w:val="Heading4"/>
      </w:pPr>
      <w:r>
        <w:t xml:space="preserve">Adherence to GHG Protocol, 2026 LSR Update, and Scope 3 Compliance:</w:t>
      </w:r>
    </w:p>
    <w:p>
      <w:pPr>
        <w:numPr>
          <w:ilvl w:val="0"/>
          <w:numId w:val="1016"/>
        </w:numPr>
        <w:pStyle w:val="Compact"/>
      </w:pPr>
      <w:r>
        <w:rPr>
          <w:bCs/>
          <w:b/>
        </w:rPr>
        <w:t xml:space="preserve">GHG Protocol Adherence:</w:t>
      </w:r>
      <w:r>
        <w:t xml:space="preserve"> </w:t>
      </w:r>
      <w:r>
        <w:t xml:space="preserve">This analysis meticulously categorizes emissions into Scope 1 (not applicable for direct operational emissions at product level, but would be for the company\'s direct factory emissions), Scope 2 (purchased electricity), and Scope 3 (value chain emissions) as per the GHG Protocol framework.</w:t>
      </w:r>
    </w:p>
    <w:p>
      <w:pPr>
        <w:numPr>
          <w:ilvl w:val="0"/>
          <w:numId w:val="1016"/>
        </w:numPr>
        <w:pStyle w:val="Compact"/>
      </w:pPr>
      <w:r>
        <w:rPr>
          <w:bCs/>
          <w:b/>
        </w:rPr>
        <w:t xml:space="preserve">2026 LSR Update:</w:t>
      </w:r>
      <w:r>
        <w:t xml:space="preserve"> </w:t>
      </w:r>
      <w:r>
        <w:t xml:space="preserve">The Land Sector and Removals (LSR) Standard, effective January 1, 2027, is recognized. While specific land-use data for raw material extraction was not provided, this analysis acknowledges the importance of the LSR standard for agricultural and land-based activities in the supply chain. For a complete LSR assessment, more detailed data on land management and land-use change impacts within the value chain would be integrated.</w:t>
      </w:r>
    </w:p>
    <w:p>
      <w:pPr>
        <w:numPr>
          <w:ilvl w:val="0"/>
          <w:numId w:val="1016"/>
        </w:numPr>
        <w:pStyle w:val="Compact"/>
      </w:pPr>
      <w:r>
        <w:rPr>
          <w:bCs/>
          <w:b/>
        </w:rPr>
        <w:t xml:space="preserve">Scope 3 Compliance (95% Coverage):</w:t>
      </w:r>
      <w:r>
        <w:t xml:space="preserve"> </w:t>
      </w:r>
      <w:r>
        <w:t xml:space="preserve">Efforts have been made to cover all major Scope 3 categories relevant to a product\'s lifecycle, including purchased goods, transportation, use of sold products, and end-of-life. The aim is to ensure at least 95% coverage for Scope 3 reporting, as mandated by the 2026 requirements, by systematically addressing each stage of the value chain.</w:t>
      </w:r>
    </w:p>
    <w:bookmarkEnd w:id="34"/>
    <w:bookmarkEnd w:id="35"/>
    <w:bookmarkStart w:id="38" w:name="review-report"/>
    <w:p>
      <w:pPr>
        <w:pStyle w:val="Heading3"/>
      </w:pPr>
      <w:r>
        <w:t xml:space="preserve">5. Review &amp; Report</w:t>
      </w:r>
    </w:p>
    <w:bookmarkStart w:id="36" w:name="emission-hotspots"/>
    <w:p>
      <w:pPr>
        <w:pStyle w:val="Heading4"/>
      </w:pPr>
      <w:r>
        <w:t xml:space="preserve">Emission Hotspots:</w:t>
      </w:r>
    </w:p>
    <w:p>
      <w:pPr>
        <w:pStyle w:val="FirstParagraph"/>
      </w:pPr>
      <w:r>
        <w:t xml:space="preserve">The primary emission hotspot for Eco-Widget 2000 is the</w:t>
      </w:r>
      <w:r>
        <w:t xml:space="preserve"> </w:t>
      </w:r>
      <w:r>
        <w:rPr>
          <w:bCs/>
          <w:b/>
        </w:rPr>
        <w:t xml:space="preserve">Use Phase</w:t>
      </w:r>
      <w:r>
        <w:t xml:space="preserve">, contributing approximately 130.31 kg CO2e (83.17%) of the total footprint. This highlights the significant impact of the product\'s energy consumption during its lifespan. The</w:t>
      </w:r>
      <w:r>
        <w:t xml:space="preserve"> </w:t>
      </w:r>
      <w:r>
        <w:rPr>
          <w:bCs/>
          <w:b/>
        </w:rPr>
        <w:t xml:space="preserve">Production Energy</w:t>
      </w:r>
      <w:r>
        <w:t xml:space="preserve"> </w:t>
      </w:r>
      <w:r>
        <w:t xml:space="preserve">(Scope 2) also represents a notable portion at 22.34 kg CO2e (14.26%), emphasizing the importance of renewable energy adoption in manufacturing. Materials and transportation contribute smaller, but still relevant, shares. The End-of-Life phase shows a net carbon saving due to high recyclability.</w:t>
      </w:r>
    </w:p>
    <w:bookmarkEnd w:id="36"/>
    <w:bookmarkStart w:id="37" w:name="reliability-and-data-quality"/>
    <w:p>
      <w:pPr>
        <w:pStyle w:val="Heading4"/>
      </w:pPr>
      <w:r>
        <w:t xml:space="preserve">Reliability and Data Quality:</w:t>
      </w:r>
    </w:p>
    <w:p>
      <w:pPr>
        <w:pStyle w:val="FirstParagraph"/>
      </w:pPr>
      <w:r>
        <w:t xml:space="preserve">The reliability of this PCF analysis is strengthened by the use of specific, provided data for the Bill of Materials and energy customization, moving away from default estimates where possible. Industry-standard emission factors were applied for general processes like electricity and transportation, citing sources equivalent to Ecoinvent/DEFRA. Future improvements could involve collecting more primary data from specific suppliers for upstream processes and more detailed energy mix data for all manufacturing locations. The 2026 GHG Protocol updates emphasize this shift towards increased primary data and transparency for Scope 3 reporting.</w:t>
      </w:r>
    </w:p>
    <w:p>
      <w:r>
        <w:pict>
          <v:rect style="width:0;height:1.5pt" o:hralign="center" o:hrstd="t" o:hr="t"/>
        </w:pict>
      </w:r>
    </w:p>
    <w:p>
      <w:pPr>
        <w:pStyle w:val="FirstParagraph"/>
      </w:pPr>
      <w:r>
        <w:t xml:space="preserve">Confidential - Internal Use Only</w:t>
      </w:r>
    </w:p>
    <w:bookmarkEnd w:id="37"/>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2000</dc:title>
  <dc:creator/>
  <dc:description>Detailed Product Carbon Footprint (PCF) analysis report for xvytwzptvx, focusing on GHG Protocol compliance, lifecycle emissions, and sustainability insights for jfjmgpvtxf.</dc:description>
  <dc:language>en</dc:language>
  <cp:keywords/>
  <dcterms:created xsi:type="dcterms:W3CDTF">2026-07-16T02:17:43Z</dcterms:created>
  <dcterms:modified xsi:type="dcterms:W3CDTF">2026-07-16T02:17:43Z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