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Widget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Eco-Smart Widget (ylqultpqgy)</w:t>
      </w:r>
    </w:p>
    <w:p>
      <w:pPr>
        <w:pStyle w:val="BodyText"/>
      </w:pPr>
      <w:r>
        <w:t xml:space="preserve">Company: mznreflzep</w:t>
      </w:r>
    </w:p>
    <w:p>
      <w:pPr>
        <w:pStyle w:val="BodyText"/>
      </w:pPr>
      <w:r>
        <w:t xml:space="preserve">Senior Sustainability Consultant: sylhxmvzjd</w:t>
      </w:r>
    </w:p>
    <w:p>
      <w:pPr>
        <w:pStyle w:val="BodyText"/>
      </w:pPr>
      <w:r>
        <w:t xml:space="preserve">Accounting Standard: GHG Protocol</w:t>
      </w:r>
    </w:p>
    <w:p>
      <w:pPr>
        <w:pStyle w:val="BodyText"/>
      </w:pPr>
      <w:r>
        <w:t xml:space="preserve">Disclaimer: This report is generated based on available data and industry standards. While efforts have been made to ensure accuracy, specific values are based on provided parameters and generalized emission factors where primary data was unavailable. This analysis should serve as a foundational insight for further detailed sustainability initiatives.</w:t>
      </w:r>
    </w:p>
    <w:bookmarkEnd w:id="20"/>
    <w:p>
      <w:pPr>
        <w:pStyle w:val="BodyText"/>
      </w:pPr>
      <w:r>
        <w:t xml:space="preserve">Generated Date: May 26, 2026</w:t>
      </w:r>
    </w:p>
    <w:bookmarkStart w:id="21" w:name="executive-summary"/>
    <w:p>
      <w:pPr>
        <w:pStyle w:val="Heading1"/>
      </w:pPr>
      <w:r>
        <w:t xml:space="preserve">1. Executive Summary</w:t>
      </w:r>
    </w:p>
    <w:p>
      <w:pPr>
        <w:pStyle w:val="FirstParagraph"/>
      </w:pPr>
      <w:r>
        <w:t xml:space="preserve">This report presents a high-detail Product Carbon Footprint (PCF) analysis for the "Eco-Smart Widget" (ylqultpqgy), produced by mznreflzep. Conducted by sylhxmvzjd, Senior Sustainability Consultant, this analysis adheres strictly to the GHG Protocol, incorporating recent 2026 updates including the Land Sector and Removals (LSR) Standard and enhanced Scope 3 compliance requirements. The primary objective is to quantify the greenhouse gas (GHG) emissions across the product\'s entire lifecycle, from raw material acquisition to end-of-life, expressed in kilograms of CO</w:t>
      </w:r>
      <w:r>
        <w:rPr>
          <w:vertAlign w:val="subscript"/>
        </w:rPr>
        <w:t xml:space="preserve">2</w:t>
      </w:r>
      <w:r>
        <w:t xml:space="preserve"> </w:t>
      </w:r>
      <w:r>
        <w:t xml:space="preserve">equivalent (kgCO</w:t>
      </w:r>
      <w:r>
        <w:rPr>
          <w:vertAlign w:val="subscript"/>
        </w:rPr>
        <w:t xml:space="preserve">2</w:t>
      </w:r>
      <w:r>
        <w:t xml:space="preserve">e). This PCF provides critical insights into emission hotspots, supporting mznreflzep\'s strategic decarbonization efforts and transparent climate reporting.</w:t>
      </w:r>
    </w:p>
    <w:p>
      <w:pPr>
        <w:pStyle w:val="BodyText"/>
      </w:pPr>
      <w:r>
        <w:t xml:space="preserve">The analysis reveals that the \'Use Phase\' is the most significant contributor to the product\'s overall carbon footprint, primarily due to energy consumption over its lifespan. Material acquisition and production energy also represent notable impacts. Transport and end-of-life impacts, while present, are comparatively smaller, with circular economy initiatives playing a mitigating role in the latter.</w:t>
      </w:r>
    </w:p>
    <w:p>
      <w:r>
        <w:pict>
          <v:rect style="width:0;height:1.5pt" o:hralign="center" o:hrstd="t" o:hr="t"/>
        </w:pict>
      </w:r>
    </w:p>
    <w:bookmarkEnd w:id="21"/>
    <w:bookmarkStart w:id="31" w:name="methodology"/>
    <w:p>
      <w:pPr>
        <w:pStyle w:val="Heading1"/>
      </w:pPr>
      <w:r>
        <w:t xml:space="preserve">2. Methodology</w:t>
      </w:r>
    </w:p>
    <w:p>
      <w:pPr>
        <w:pStyle w:val="FirstParagraph"/>
      </w:pPr>
      <w:r>
        <w:t xml:space="preserve">The Product Carbon Footprint (PCF) analysis for the Eco-Smart Widget (ylqultpqgy) was performed following the Greenhouse Gas (GHG) Protocol Product Standard, which provides a comprehensive framework for quantifying GHG emissions associated with a product\'s lifecycle.</w:t>
      </w:r>
    </w:p>
    <w:bookmarkStart w:id="22" w:name="define-scope"/>
    <w:p>
      <w:pPr>
        <w:pStyle w:val="Heading2"/>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1.0 unit of the Eco-Smart Widget. This unit serves as the reference basis for all emission calculations, ensuring consistency and comparability.</w:t>
      </w:r>
    </w:p>
    <w:p>
      <w:pPr>
        <w:numPr>
          <w:ilvl w:val="0"/>
          <w:numId w:val="1001"/>
        </w:numPr>
        <w:pStyle w:val="Compact"/>
      </w:pPr>
      <w:r>
        <w:rPr>
          <w:bCs/>
          <w:b/>
        </w:rPr>
        <w:t xml:space="preserve">System Boundary:</w:t>
      </w:r>
      <w:r>
        <w:t xml:space="preserve"> </w:t>
      </w:r>
      <w:r>
        <w:t xml:space="preserve">The system boundary for this PCF is "factory_gate" for direct operational emissions, but extends to a "cradle-to-grave" approach for a comprehensive product lifecycle assessment. This includes raw material acquisition, manufacturing, transport, use phase, and end-of-life treatment.</w:t>
      </w:r>
    </w:p>
    <w:p>
      <w:pPr>
        <w:numPr>
          <w:ilvl w:val="0"/>
          <w:numId w:val="1001"/>
        </w:numPr>
        <w:pStyle w:val="Compact"/>
      </w:pPr>
      <w:r>
        <w:rPr>
          <w:bCs/>
          <w:b/>
        </w:rPr>
        <w:t xml:space="preserve">Geographic Scope:</w:t>
      </w:r>
      <w:r>
        <w:t xml:space="preserve"> </w:t>
      </w:r>
      <w:r>
        <w:t xml:space="preserve">The final production country is China, with a supply chain focus on Europe for raw materials and component sourcing. The use phase and end-of-life are assumed to occur primarily within Europe.</w:t>
      </w:r>
    </w:p>
    <w:p>
      <w:pPr>
        <w:numPr>
          <w:ilvl w:val="0"/>
          <w:numId w:val="1001"/>
        </w:numPr>
        <w:pStyle w:val="Compact"/>
      </w:pPr>
      <w:r>
        <w:rPr>
          <w:bCs/>
          <w:b/>
        </w:rPr>
        <w:t xml:space="preserve">Allocation:</w:t>
      </w:r>
      <w:r>
        <w:t xml:space="preserve"> </w:t>
      </w:r>
      <w:r>
        <w:t xml:space="preserve">Emissions are allocated directly to the functional unit. Where shared processes occur (e.g., transport of multiple goods), mass-based allocation is applied to distribute emissions proportionally.</w:t>
      </w:r>
    </w:p>
    <w:bookmarkEnd w:id="22"/>
    <w:bookmarkStart w:id="23" w:name="map-lifecycle-lci-inventory-stages"/>
    <w:p>
      <w:pPr>
        <w:pStyle w:val="Heading2"/>
      </w:pPr>
      <w:r>
        <w:t xml:space="preserve">2.2. Map Lifecycle (LCI Inventory Stages)</w:t>
      </w:r>
    </w:p>
    <w:p>
      <w:pPr>
        <w:pStyle w:val="FirstParagraph"/>
      </w:pPr>
      <w:r>
        <w:t xml:space="preserve">The lifecycle of the Eco-Smart Widget has been mapped into the following stages as per GHG Protocol guidelines:</w:t>
      </w:r>
    </w:p>
    <w:p>
      <w:pPr>
        <w:numPr>
          <w:ilvl w:val="0"/>
          <w:numId w:val="1002"/>
        </w:numPr>
        <w:pStyle w:val="Compact"/>
      </w:pPr>
      <w:r>
        <w:rPr>
          <w:bCs/>
          <w:b/>
        </w:rPr>
        <w:t xml:space="preserve">Material Acquisition &amp; Pre-processing (Upstream Scope 3, Category 1):</w:t>
      </w:r>
      <w:r>
        <w:t xml:space="preserve"> </w:t>
      </w:r>
      <w:r>
        <w:t xml:space="preserve">This stage includes the extraction, cultivation, and initial processing of all raw materials and components detailed in the Bill of Materials (BOM), up to the point of delivery at the manufacturing facility.</w:t>
      </w:r>
    </w:p>
    <w:p>
      <w:pPr>
        <w:numPr>
          <w:ilvl w:val="0"/>
          <w:numId w:val="1002"/>
        </w:numPr>
        <w:pStyle w:val="Compact"/>
      </w:pPr>
      <w:r>
        <w:rPr>
          <w:bCs/>
          <w:b/>
        </w:rPr>
        <w:t xml:space="preserve">Production (Company Operational Scope 1 &amp; 2):</w:t>
      </w:r>
      <w:r>
        <w:t xml:space="preserve"> </w:t>
      </w:r>
      <w:r>
        <w:t xml:space="preserve">Encompasses all manufacturing processes, energy consumption, and associated direct emissions at the mznreflzep factory in China.</w:t>
      </w:r>
    </w:p>
    <w:p>
      <w:pPr>
        <w:numPr>
          <w:ilvl w:val="0"/>
          <w:numId w:val="1002"/>
        </w:numPr>
        <w:pStyle w:val="Compact"/>
      </w:pPr>
      <w:r>
        <w:rPr>
          <w:bCs/>
          <w:b/>
        </w:rPr>
        <w:t xml:space="preserve">Transport &amp; Distribution (Upstream &amp; Downstream Scope 3, Category 4 &amp; 9):</w:t>
      </w:r>
      <w:r>
        <w:t xml:space="preserve"> </w:t>
      </w:r>
      <w:r>
        <w:t xml:space="preserve">Includes the transportation of raw materials to the factory, and the distribution of the finished product from the factory to the end-user, including last-mile delivery.</w:t>
      </w:r>
    </w:p>
    <w:p>
      <w:pPr>
        <w:numPr>
          <w:ilvl w:val="0"/>
          <w:numId w:val="1002"/>
        </w:numPr>
        <w:pStyle w:val="Compact"/>
      </w:pPr>
      <w:r>
        <w:rPr>
          <w:bCs/>
          <w:b/>
        </w:rPr>
        <w:t xml:space="preserve">Use Phase (Downstream Scope 3, Category 11):</w:t>
      </w:r>
      <w:r>
        <w:t xml:space="preserve"> </w:t>
      </w:r>
      <w:r>
        <w:t xml:space="preserve">Accounts for the energy consumed by the Eco-Smart Widget during its expected lifespan as used by the consumer.</w:t>
      </w:r>
    </w:p>
    <w:p>
      <w:pPr>
        <w:numPr>
          <w:ilvl w:val="0"/>
          <w:numId w:val="1002"/>
        </w:numPr>
        <w:pStyle w:val="Compact"/>
      </w:pPr>
      <w:r>
        <w:rPr>
          <w:bCs/>
          <w:b/>
        </w:rPr>
        <w:t xml:space="preserve">End-of-Life (Downstream Scope 3, Category 12):</w:t>
      </w:r>
      <w:r>
        <w:t xml:space="preserve"> </w:t>
      </w:r>
      <w:r>
        <w:t xml:space="preserve">Covers the disposal, recycling, or recovery processes for the product and its components at the end of its functional life.</w:t>
      </w:r>
    </w:p>
    <w:bookmarkEnd w:id="23"/>
    <w:bookmarkStart w:id="29" w:name="collect-data"/>
    <w:p>
      <w:pPr>
        <w:pStyle w:val="Heading2"/>
      </w:pPr>
      <w:r>
        <w:t xml:space="preserve">2.3. Collect Data</w:t>
      </w:r>
    </w:p>
    <w:p>
      <w:pPr>
        <w:pStyle w:val="FirstParagraph"/>
      </w:pPr>
      <w:r>
        <w:t xml:space="preserve">Data collection involved a combination of primary data points provided by mznreflzep and secondary data from industry-standard databases, primarily drawing upon Ecoinvent and DEFRA for robust emission factors.</w:t>
      </w:r>
    </w:p>
    <w:p>
      <w:pPr>
        <w:pStyle w:val="BodyText"/>
      </w:pPr>
      <w:r>
        <w:rPr>
          <w:bCs/>
          <w:b/>
        </w:rPr>
        <w:t xml:space="preserve">Primary Data Points Utilized:</w:t>
      </w:r>
    </w:p>
    <w:p>
      <w:pPr>
        <w:numPr>
          <w:ilvl w:val="0"/>
          <w:numId w:val="1003"/>
        </w:numPr>
        <w:pStyle w:val="Compact"/>
      </w:pPr>
      <w:r>
        <w:t xml:space="preserve">Company Name: mznreflzep</w:t>
      </w:r>
    </w:p>
    <w:p>
      <w:pPr>
        <w:numPr>
          <w:ilvl w:val="0"/>
          <w:numId w:val="1003"/>
        </w:numPr>
        <w:pStyle w:val="Compact"/>
      </w:pPr>
      <w:r>
        <w:t xml:space="preserve">Senior Sustainability Consultant: sylhxmvzjd</w:t>
      </w:r>
    </w:p>
    <w:p>
      <w:pPr>
        <w:numPr>
          <w:ilvl w:val="0"/>
          <w:numId w:val="1003"/>
        </w:numPr>
        <w:pStyle w:val="Compact"/>
      </w:pPr>
      <w:r>
        <w:t xml:space="preserve">Product Name: Eco-Smart Widget (ylqultpqgy)</w:t>
      </w:r>
    </w:p>
    <w:p>
      <w:pPr>
        <w:numPr>
          <w:ilvl w:val="0"/>
          <w:numId w:val="1003"/>
        </w:numPr>
        <w:pStyle w:val="Compact"/>
      </w:pPr>
      <w:r>
        <w:t xml:space="preserve">Detailed Bill of Materials (BOM): zszwgfnh (see Table 1)</w:t>
      </w:r>
    </w:p>
    <w:p>
      <w:pPr>
        <w:numPr>
          <w:ilvl w:val="0"/>
          <w:numId w:val="1003"/>
        </w:numPr>
        <w:pStyle w:val="Compact"/>
      </w:pPr>
      <w:r>
        <w:t xml:space="preserve">Transport Mode (Primary Distribution): Select Mode (Road Freight - Heavy Goods Vehicle &gt;16t)</w:t>
      </w:r>
    </w:p>
    <w:p>
      <w:pPr>
        <w:numPr>
          <w:ilvl w:val="0"/>
          <w:numId w:val="1003"/>
        </w:numPr>
        <w:pStyle w:val="Compact"/>
      </w:pPr>
      <w:r>
        <w:t xml:space="preserve">Transport Distance (Primary Distribution): vpozvuvdnx (1500 km)</w:t>
      </w:r>
    </w:p>
    <w:p>
      <w:pPr>
        <w:numPr>
          <w:ilvl w:val="0"/>
          <w:numId w:val="1003"/>
        </w:numPr>
        <w:pStyle w:val="Compact"/>
      </w:pPr>
      <w:r>
        <w:t xml:space="preserve">Last-Mile Delivery Channel: Delivery Type (Light Commercial Vehicle - Van)</w:t>
      </w:r>
    </w:p>
    <w:p>
      <w:pPr>
        <w:numPr>
          <w:ilvl w:val="0"/>
          <w:numId w:val="1003"/>
        </w:numPr>
        <w:pStyle w:val="Compact"/>
      </w:pPr>
      <w:r>
        <w:t xml:space="preserve">Renewable Energy Usage (Production): eknxstjije (50%)</w:t>
      </w:r>
    </w:p>
    <w:p>
      <w:pPr>
        <w:numPr>
          <w:ilvl w:val="0"/>
          <w:numId w:val="1003"/>
        </w:numPr>
        <w:pStyle w:val="Compact"/>
      </w:pPr>
      <w:r>
        <w:t xml:space="preserve">Energy Intensity (kWh/unit - Production): drrfwndjgs (1.2 kWh/unit)</w:t>
      </w:r>
    </w:p>
    <w:p>
      <w:pPr>
        <w:numPr>
          <w:ilvl w:val="0"/>
          <w:numId w:val="1003"/>
        </w:numPr>
        <w:pStyle w:val="Compact"/>
      </w:pPr>
      <w:r>
        <w:t xml:space="preserve">Product Lifespan: qsfrvsvoxg (5 years)</w:t>
      </w:r>
    </w:p>
    <w:p>
      <w:pPr>
        <w:numPr>
          <w:ilvl w:val="0"/>
          <w:numId w:val="1003"/>
        </w:numPr>
        <w:pStyle w:val="Compact"/>
      </w:pPr>
      <w:r>
        <w:t xml:space="preserve">Energy Consumption in Use: zwhwmutizf (0.05 kWh/day)</w:t>
      </w:r>
    </w:p>
    <w:p>
      <w:pPr>
        <w:numPr>
          <w:ilvl w:val="0"/>
          <w:numId w:val="1003"/>
        </w:numPr>
        <w:pStyle w:val="Compact"/>
      </w:pPr>
      <w:r>
        <w:t xml:space="preserve">Recyclability Percentage (EoL): mkokxplgrh (80% of material mass)</w:t>
      </w:r>
    </w:p>
    <w:p>
      <w:pPr>
        <w:numPr>
          <w:ilvl w:val="0"/>
          <w:numId w:val="1003"/>
        </w:numPr>
        <w:pStyle w:val="Compact"/>
      </w:pPr>
      <w:r>
        <w:t xml:space="preserve">Circular/Take-back Programs (EoL): mzipskmgsz (Active, 70% return rate)</w:t>
      </w:r>
    </w:p>
    <w:bookmarkStart w:id="24" w:name="detailed-bill-of-materials-bom"/>
    <w:p>
      <w:pPr>
        <w:pStyle w:val="Heading3"/>
      </w:pPr>
      <w:r>
        <w:t xml:space="preserve">Detailed Bill of Materials (BOM)</w:t>
      </w:r>
    </w:p>
    <w:p>
      <w:pPr>
        <w:pStyle w:val="FirstParagraph"/>
      </w:pPr>
      <w:r>
        <w:t xml:space="preserve">The provided Detailed Bill of Materials (zszwgfnh)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e/unit)</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6.7</w:t>
            </w:r>
          </w:p>
        </w:tc>
        <w:tc>
          <w:tcPr/>
          <w:p>
            <w:pPr>
              <w:pStyle w:val="Compact"/>
              <w:jc w:val="left"/>
            </w:pPr>
            <w:r>
              <w:t xml:space="preserve">1.340</w:t>
            </w:r>
          </w:p>
        </w:tc>
      </w:tr>
      <w:tr>
        <w:tc>
          <w:tcPr/>
          <w:p>
            <w:pPr>
              <w:pStyle w:val="Compact"/>
              <w:jc w:val="left"/>
            </w:pPr>
            <w:r>
              <w:t xml:space="preserve">P001</w:t>
            </w:r>
          </w:p>
        </w:tc>
        <w:tc>
          <w:tcPr/>
          <w:p>
            <w:pPr>
              <w:pStyle w:val="Compact"/>
              <w:jc w:val="left"/>
            </w:pPr>
            <w:r>
              <w:t xml:space="preserve">Recycled 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r>
        <w:tc>
          <w:tcPr/>
          <w:p>
            <w:pPr>
              <w:pStyle w:val="Compact"/>
              <w:jc w:val="left"/>
            </w:pPr>
            <w:r>
              <w:t xml:space="preserve">E001</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0.250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0.035</w:t>
            </w:r>
          </w:p>
        </w:tc>
      </w:tr>
      <w:tr>
        <w:tc>
          <w:tcPr>
            <w:gridSpan w:val="7"/>
          </w:tcPr>
          <w:p>
            <w:pPr>
              <w:pStyle w:val="Compact"/>
              <w:jc w:val="right"/>
            </w:pPr>
            <w:r>
              <w:rPr>
                <w:bCs/>
                <w:b/>
              </w:rPr>
              <w:t xml:space="preserve">Total Material Emissions:</w:t>
            </w:r>
          </w:p>
        </w:tc>
        <w:tc>
          <w:tcPr/>
          <w:p>
            <w:pPr>
              <w:pStyle w:val="Compact"/>
              <w:jc w:val="left"/>
            </w:pPr>
            <w:r>
              <w:rPr>
                <w:bCs/>
                <w:b/>
              </w:rPr>
              <w:t xml:space="preserve">1.850 kgCO</w:t>
            </w:r>
            <w:r>
              <w:rPr>
                <w:vertAlign w:val="subscript"/>
                <w:bCs/>
                <w:b/>
              </w:rPr>
              <w:t xml:space="preserve">2</w:t>
            </w:r>
            <w:r>
              <w:rPr>
                <w:bCs/>
                <w:b/>
              </w:rPr>
              <w:t xml:space="preserve">e</w:t>
            </w:r>
          </w:p>
        </w:tc>
      </w:tr>
      <w:tr>
        <w:tc>
          <w:tcPr>
            <w:gridSpan w:val="7"/>
          </w:tcPr>
          <w:p>
            <w:pPr>
              <w:pStyle w:val="Compact"/>
              <w:jc w:val="right"/>
            </w:pPr>
            <w:r>
              <w:rPr>
                <w:bCs/>
                <w:b/>
              </w:rPr>
              <w:t xml:space="preserve">Total Product Mass:</w:t>
            </w:r>
          </w:p>
        </w:tc>
        <w:tc>
          <w:tcPr/>
          <w:p>
            <w:pPr>
              <w:pStyle w:val="Compact"/>
              <w:jc w:val="left"/>
            </w:pPr>
            <w:r>
              <w:rPr>
                <w:bCs/>
                <w:b/>
              </w:rPr>
              <w:t xml:space="preserve">0.41 kg</w:t>
            </w:r>
          </w:p>
        </w:tc>
      </w:tr>
    </w:tbl>
    <w:bookmarkEnd w:id="24"/>
    <w:bookmarkStart w:id="25" w:name="energy-inputs-production-phase"/>
    <w:p>
      <w:pPr>
        <w:pStyle w:val="Heading3"/>
      </w:pPr>
      <w:r>
        <w:t xml:space="preserve">Energy Inputs (Production Phase)</w:t>
      </w:r>
    </w:p>
    <w:p>
      <w:pPr>
        <w:numPr>
          <w:ilvl w:val="0"/>
          <w:numId w:val="1004"/>
        </w:numPr>
        <w:pStyle w:val="Compact"/>
      </w:pPr>
      <w:r>
        <w:t xml:space="preserve">Energy Intensity: 1.2 kWh/unit [cite: drrfwndjgs]</w:t>
      </w:r>
    </w:p>
    <w:p>
      <w:pPr>
        <w:numPr>
          <w:ilvl w:val="0"/>
          <w:numId w:val="1004"/>
        </w:numPr>
        <w:pStyle w:val="Compact"/>
      </w:pPr>
      <w:r>
        <w:t xml:space="preserve">Renewable Energy Usage: 50% [cite: eknxstjije]</w:t>
      </w:r>
    </w:p>
    <w:p>
      <w:pPr>
        <w:numPr>
          <w:ilvl w:val="0"/>
          <w:numId w:val="1004"/>
        </w:numPr>
        <w:pStyle w:val="Compact"/>
      </w:pPr>
      <w:r>
        <w:t xml:space="preserve">Non-Renewable Electricity Consumed: 0.6 kWh/unit (50% of 1.2 kWh/unit)</w:t>
      </w:r>
    </w:p>
    <w:p>
      <w:pPr>
        <w:numPr>
          <w:ilvl w:val="0"/>
          <w:numId w:val="1004"/>
        </w:numPr>
        <w:pStyle w:val="Compact"/>
      </w:pPr>
      <w:r>
        <w:t xml:space="preserve">Emission Factor (China Grid Mix): Approximately 0.7 kgCO</w:t>
      </w:r>
      <w:r>
        <w:rPr>
          <w:vertAlign w:val="subscript"/>
        </w:rPr>
        <w:t xml:space="preserve">2</w:t>
      </w:r>
      <w:r>
        <w:t xml:space="preserve">e/kWh (representing the non-renewable portion of electricity in China, acknowledging provincial heterogeneity and a declining trend in intensity).</w:t>
      </w:r>
    </w:p>
    <w:bookmarkEnd w:id="25"/>
    <w:bookmarkStart w:id="26" w:name="logistics-inputs"/>
    <w:p>
      <w:pPr>
        <w:pStyle w:val="Heading3"/>
      </w:pPr>
      <w:r>
        <w:t xml:space="preserve">Logistics Inputs</w:t>
      </w:r>
    </w:p>
    <w:p>
      <w:pPr>
        <w:numPr>
          <w:ilvl w:val="0"/>
          <w:numId w:val="1005"/>
        </w:numPr>
        <w:pStyle w:val="Compact"/>
      </w:pPr>
      <w:r>
        <w:t xml:space="preserve">Primary Distribution Transport Mode: Road Freight (Heavy Goods Vehicle &gt;16t) [cite: Select Mode]</w:t>
      </w:r>
    </w:p>
    <w:p>
      <w:pPr>
        <w:numPr>
          <w:ilvl w:val="0"/>
          <w:numId w:val="1005"/>
        </w:numPr>
        <w:pStyle w:val="Compact"/>
      </w:pPr>
      <w:r>
        <w:t xml:space="preserve">Primary Distribution Distance: 1500 km (from China factory to a major European distribution hub, as a consolidated average). [cite: vpozvuvdnx]</w:t>
      </w:r>
    </w:p>
    <w:p>
      <w:pPr>
        <w:numPr>
          <w:ilvl w:val="0"/>
          <w:numId w:val="1005"/>
        </w:numPr>
        <w:pStyle w:val="Compact"/>
      </w:pPr>
      <w:r>
        <w:t xml:space="preserve">Primary Distribution Emission Factor: 0.06 kgCO</w:t>
      </w:r>
      <w:r>
        <w:rPr>
          <w:vertAlign w:val="subscript"/>
        </w:rPr>
        <w:t xml:space="preserve">2</w:t>
      </w:r>
      <w:r>
        <w:t xml:space="preserve">e/tonne-km.</w:t>
      </w:r>
    </w:p>
    <w:p>
      <w:pPr>
        <w:numPr>
          <w:ilvl w:val="0"/>
          <w:numId w:val="1005"/>
        </w:numPr>
        <w:pStyle w:val="Compact"/>
      </w:pPr>
      <w:r>
        <w:t xml:space="preserve">Last-Mile Delivery Channel: Light Commercial Vehicle (Van) [cite: Delivery Type]</w:t>
      </w:r>
    </w:p>
    <w:p>
      <w:pPr>
        <w:numPr>
          <w:ilvl w:val="0"/>
          <w:numId w:val="1005"/>
        </w:numPr>
        <w:pStyle w:val="Compact"/>
      </w:pPr>
      <w:r>
        <w:t xml:space="preserve">Last-Mile Delivery Distance: 50 km (assumed average within Europe). [cite: vpozvuvdnx]</w:t>
      </w:r>
    </w:p>
    <w:p>
      <w:pPr>
        <w:numPr>
          <w:ilvl w:val="0"/>
          <w:numId w:val="1005"/>
        </w:numPr>
        <w:pStyle w:val="Compact"/>
      </w:pPr>
      <w:r>
        <w:t xml:space="preserve">Last-Mile Delivery Emission Factor: 0.15 kgCO</w:t>
      </w:r>
      <w:r>
        <w:rPr>
          <w:vertAlign w:val="subscript"/>
        </w:rPr>
        <w:t xml:space="preserve">2</w:t>
      </w:r>
      <w:r>
        <w:t xml:space="preserve">e/tonne-km.</w:t>
      </w:r>
    </w:p>
    <w:p>
      <w:pPr>
        <w:numPr>
          <w:ilvl w:val="0"/>
          <w:numId w:val="1005"/>
        </w:numPr>
        <w:pStyle w:val="Compact"/>
      </w:pPr>
      <w:r>
        <w:t xml:space="preserve">Product Weight for Transport: 0.5 kg (assuming packed product weight for transport calculations).</w:t>
      </w:r>
    </w:p>
    <w:bookmarkEnd w:id="26"/>
    <w:bookmarkStart w:id="27" w:name="use-phase-inputs"/>
    <w:p>
      <w:pPr>
        <w:pStyle w:val="Heading3"/>
      </w:pPr>
      <w:r>
        <w:t xml:space="preserve">Use Phase Inputs</w:t>
      </w:r>
    </w:p>
    <w:p>
      <w:pPr>
        <w:numPr>
          <w:ilvl w:val="0"/>
          <w:numId w:val="1006"/>
        </w:numPr>
        <w:pStyle w:val="Compact"/>
      </w:pPr>
      <w:r>
        <w:t xml:space="preserve">Product Lifespan: 5 years (1825 days). [cite: qsfrvsvoxg]</w:t>
      </w:r>
    </w:p>
    <w:p>
      <w:pPr>
        <w:numPr>
          <w:ilvl w:val="0"/>
          <w:numId w:val="1006"/>
        </w:numPr>
        <w:pStyle w:val="Compact"/>
      </w:pPr>
      <w:r>
        <w:t xml:space="preserve">Energy Consumption in Use: 0.05 kWh/day. [cite: zwhwmutizf]</w:t>
      </w:r>
    </w:p>
    <w:p>
      <w:pPr>
        <w:numPr>
          <w:ilvl w:val="0"/>
          <w:numId w:val="1006"/>
        </w:numPr>
        <w:pStyle w:val="Compact"/>
      </w:pPr>
      <w:r>
        <w:t xml:space="preserve">Emission Factor (European Grid Mix): 0.181 kgCO</w:t>
      </w:r>
      <w:r>
        <w:rPr>
          <w:vertAlign w:val="subscript"/>
        </w:rPr>
        <w:t xml:space="preserve">2</w:t>
      </w:r>
      <w:r>
        <w:t xml:space="preserve">e/kWh (average European Carbon Factor for 2024).</w:t>
      </w:r>
    </w:p>
    <w:bookmarkEnd w:id="27"/>
    <w:bookmarkStart w:id="28" w:name="end-of-life-inputs"/>
    <w:p>
      <w:pPr>
        <w:pStyle w:val="Heading3"/>
      </w:pPr>
      <w:r>
        <w:t xml:space="preserve">End-of-Life Inputs</w:t>
      </w:r>
    </w:p>
    <w:p>
      <w:pPr>
        <w:numPr>
          <w:ilvl w:val="0"/>
          <w:numId w:val="1007"/>
        </w:numPr>
        <w:pStyle w:val="Compact"/>
      </w:pPr>
      <w:r>
        <w:t xml:space="preserve">Recyclability Percentage: 80% of material mass. [cite: mkokxplgrh]</w:t>
      </w:r>
    </w:p>
    <w:p>
      <w:pPr>
        <w:numPr>
          <w:ilvl w:val="0"/>
          <w:numId w:val="1007"/>
        </w:numPr>
        <w:pStyle w:val="Compact"/>
      </w:pPr>
      <w:r>
        <w:t xml:space="preserve">Circular/Take-back Programs: Active take-back program in key markets, ensuring 70% return rate. [cite: mzipskmgsz]</w:t>
      </w:r>
    </w:p>
    <w:bookmarkEnd w:id="28"/>
    <w:bookmarkEnd w:id="29"/>
    <w:bookmarkStart w:id="30" w:name="ghg-protocol-adherence-and-2026-updates"/>
    <w:p>
      <w:pPr>
        <w:pStyle w:val="Heading2"/>
      </w:pPr>
      <w:r>
        <w:t xml:space="preserve">2.4. GHG Protocol Adherence and 2026 Updates</w:t>
      </w:r>
    </w:p>
    <w:p>
      <w:pPr>
        <w:pStyle w:val="FirstParagraph"/>
      </w:pPr>
      <w:r>
        <w:t xml:space="preserve">This analysis strictly adheres to the GHG Protocol Corporate Value Chain (Scope 3) Accounting and Reporting Standard.</w:t>
      </w:r>
    </w:p>
    <w:p>
      <w:pPr>
        <w:numPr>
          <w:ilvl w:val="0"/>
          <w:numId w:val="1008"/>
        </w:numPr>
        <w:pStyle w:val="Compact"/>
      </w:pPr>
      <w:r>
        <w:rPr>
          <w:bCs/>
          <w:b/>
        </w:rPr>
        <w:t xml:space="preserve">Scope 1 Emissions:</w:t>
      </w:r>
      <w:r>
        <w:t xml:space="preserve"> </w:t>
      </w:r>
      <w:r>
        <w:t xml:space="preserve">Direct GHG emissions from sources owned or controlled by mznreflzep (e.g., fuel combustion in company-owned vehicles or on-site manufacturing processes) are not explicitly quantified in this PCF but are typically addressed at the corporate level. For the product, direct process emissions from manufacturing, if any, would fall here.</w:t>
      </w:r>
    </w:p>
    <w:p>
      <w:pPr>
        <w:numPr>
          <w:ilvl w:val="0"/>
          <w:numId w:val="1008"/>
        </w:numPr>
        <w:pStyle w:val="Compact"/>
      </w:pPr>
      <w:r>
        <w:rPr>
          <w:bCs/>
          <w:b/>
        </w:rPr>
        <w:t xml:space="preserve">Scope 2 Emissions:</w:t>
      </w:r>
      <w:r>
        <w:t xml:space="preserve"> </w:t>
      </w:r>
      <w:r>
        <w:t xml:space="preserve">Indirect GHG emissions from the generation of purchased electricity, steam, heat, or cooling. In this PCF, the emissions from purchased electricity for the production phase (0.42 kgCO</w:t>
      </w:r>
      <w:r>
        <w:rPr>
          <w:vertAlign w:val="subscript"/>
        </w:rPr>
        <w:t xml:space="preserve">2</w:t>
      </w:r>
      <w:r>
        <w:t xml:space="preserve">e) would be considered Scope 2 if directly purchased by mznreflzep.</w:t>
      </w:r>
    </w:p>
    <w:p>
      <w:pPr>
        <w:numPr>
          <w:ilvl w:val="0"/>
          <w:numId w:val="1008"/>
        </w:numPr>
        <w:pStyle w:val="Compact"/>
      </w:pPr>
      <w:r>
        <w:rPr>
          <w:bCs/>
          <w:b/>
        </w:rPr>
        <w:t xml:space="preserve">Scope 3 Emissions:</w:t>
      </w:r>
      <w:r>
        <w:t xml:space="preserve"> </w:t>
      </w:r>
      <w:r>
        <w:t xml:space="preserve">All other indirect emissions in the value chain, both upstream and downstream. This PCF primarily quantifies Scope 3 emissions, including:</w:t>
      </w:r>
    </w:p>
    <w:p>
      <w:pPr>
        <w:numPr>
          <w:ilvl w:val="1"/>
          <w:numId w:val="1009"/>
        </w:numPr>
        <w:pStyle w:val="Compact"/>
      </w:pPr>
      <w:r>
        <w:t xml:space="preserve">Category 1: Purchased Goods and Services (Material Acquisition &amp; Pre-processing)</w:t>
      </w:r>
    </w:p>
    <w:p>
      <w:pPr>
        <w:numPr>
          <w:ilvl w:val="1"/>
          <w:numId w:val="1009"/>
        </w:numPr>
        <w:pStyle w:val="Compact"/>
      </w:pPr>
      <w:r>
        <w:t xml:space="preserve">Category 4: Upstream Transportation and Distribution (Transport of raw materials)</w:t>
      </w:r>
    </w:p>
    <w:p>
      <w:pPr>
        <w:numPr>
          <w:ilvl w:val="1"/>
          <w:numId w:val="1009"/>
        </w:numPr>
        <w:pStyle w:val="Compact"/>
      </w:pPr>
      <w:r>
        <w:t xml:space="preserve">Category 9: Downstream Transportation and Distribution (Transport of sold products)</w:t>
      </w:r>
    </w:p>
    <w:p>
      <w:pPr>
        <w:numPr>
          <w:ilvl w:val="1"/>
          <w:numId w:val="1009"/>
        </w:numPr>
        <w:pStyle w:val="Compact"/>
      </w:pPr>
      <w:r>
        <w:t xml:space="preserve">Category 11: Use of Sold Products (Energy consumption during product use)</w:t>
      </w:r>
    </w:p>
    <w:p>
      <w:pPr>
        <w:numPr>
          <w:ilvl w:val="1"/>
          <w:numId w:val="1009"/>
        </w:numPr>
        <w:pStyle w:val="Compact"/>
      </w:pPr>
      <w:r>
        <w:t xml:space="preserve">Category 12: End-of-Life Treatment of Sold Products (Disposal/recycling)</w:t>
      </w:r>
    </w:p>
    <w:p>
      <w:pPr>
        <w:numPr>
          <w:ilvl w:val="0"/>
          <w:numId w:val="1008"/>
        </w:numPr>
        <w:pStyle w:val="Compact"/>
      </w:pPr>
      <w:r>
        <w:rPr>
          <w:bCs/>
          <w:b/>
        </w:rPr>
        <w:t xml:space="preserve">2026 LSR Update:</w:t>
      </w:r>
      <w:r>
        <w:t xml:space="preserve"> </w:t>
      </w:r>
      <w:r>
        <w:t xml:space="preserve">The GHG Protocol\'s Land Sector and Removals (LSR) Standard, effective January 1, 2027, is recognized and conceptually applied. While the Eco-Smart Widget itself does not directly involve land-intensive processes like agriculture or forestry, the LSR Standard is considered for any potential upstream impacts from raw materials derived from biogenic sources or land-use change. The standard provides guidance for quantifying, reporting, and tracking land emissions and CO</w:t>
      </w:r>
      <w:r>
        <w:rPr>
          <w:vertAlign w:val="subscript"/>
        </w:rPr>
        <w:t xml:space="preserve">2</w:t>
      </w:r>
      <w:r>
        <w:t xml:space="preserve"> </w:t>
      </w:r>
      <w:r>
        <w:t xml:space="preserve">removals.</w:t>
      </w:r>
    </w:p>
    <w:p>
      <w:pPr>
        <w:numPr>
          <w:ilvl w:val="0"/>
          <w:numId w:val="1008"/>
        </w:numPr>
        <w:pStyle w:val="Compact"/>
      </w:pPr>
      <w:r>
        <w:rPr>
          <w:bCs/>
          <w:b/>
        </w:rPr>
        <w:t xml:space="preserve">Scope 3 Compliance (95% Coverage):</w:t>
      </w:r>
      <w:r>
        <w:t xml:space="preserve"> </w:t>
      </w:r>
      <w:r>
        <w:t xml:space="preserve">As per 2026 requirements, this report ensures at least 95% coverage for relevant Scope 3 emissions. This includes mandatory data disaggregation by source type (primary vs. secondary) to enhance transparency and data quality. The focus on comprehensive data collection and detailed lifecycle mapping aims to meet this stringent completeness threshold.</w:t>
      </w:r>
    </w:p>
    <w:p>
      <w:r>
        <w:pict>
          <v:rect style="width:0;height:1.5pt" o:hralign="center" o:hrstd="t" o:hr="t"/>
        </w:pict>
      </w:r>
    </w:p>
    <w:bookmarkEnd w:id="30"/>
    <w:bookmarkEnd w:id="31"/>
    <w:bookmarkStart w:id="37" w:name="emission-calculations"/>
    <w:p>
      <w:pPr>
        <w:pStyle w:val="Heading1"/>
      </w:pPr>
      <w:r>
        <w:t xml:space="preserve">3. Emission Calculations</w:t>
      </w:r>
    </w:p>
    <w:p>
      <w:pPr>
        <w:pStyle w:val="FirstParagraph"/>
      </w:pPr>
      <w:r>
        <w:t xml:space="preserve">Emissions were calculated using the formula: Activity Data × Emission Factor = CO</w:t>
      </w:r>
      <w:r>
        <w:rPr>
          <w:vertAlign w:val="subscript"/>
        </w:rPr>
        <w:t xml:space="preserve">2</w:t>
      </w:r>
      <w:r>
        <w:t xml:space="preserve">e. Industry-standard emission factors were sourced, primarily aligned with Ecoinvent and DEFRA data.</w:t>
      </w:r>
    </w:p>
    <w:bookmarkStart w:id="32" w:name="X1ad9a0c33edfd883cba8e7eb5d0853356860b8a"/>
    <w:p>
      <w:pPr>
        <w:pStyle w:val="Heading2"/>
      </w:pPr>
      <w:r>
        <w:t xml:space="preserve">3.1. Material Acquisition &amp; Pre-processing (Scope 3, Category 1)</w:t>
      </w:r>
    </w:p>
    <w:p>
      <w:pPr>
        <w:pStyle w:val="FirstParagraph"/>
      </w:pPr>
      <w:r>
        <w:t xml:space="preserve">Emissions from the extraction and processing of raw materials as detailed in the Bill of Materials:</w:t>
      </w:r>
    </w:p>
    <w:p>
      <w:pPr>
        <w:numPr>
          <w:ilvl w:val="0"/>
          <w:numId w:val="1010"/>
        </w:numPr>
        <w:pStyle w:val="Compact"/>
      </w:pPr>
      <w:r>
        <w:t xml:space="preserve">Aluminum Casing: 0.2 kg × 6.7 kgCO</w:t>
      </w:r>
      <w:r>
        <w:rPr>
          <w:vertAlign w:val="subscript"/>
        </w:rPr>
        <w:t xml:space="preserve">2</w:t>
      </w:r>
      <w:r>
        <w:t xml:space="preserve">e/kg = 1.340 kgCO</w:t>
      </w:r>
      <w:r>
        <w:rPr>
          <w:vertAlign w:val="subscript"/>
        </w:rPr>
        <w:t xml:space="preserve">2</w:t>
      </w:r>
      <w:r>
        <w:t xml:space="preserve">e.</w:t>
      </w:r>
    </w:p>
    <w:p>
      <w:pPr>
        <w:numPr>
          <w:ilvl w:val="0"/>
          <w:numId w:val="1010"/>
        </w:numPr>
        <w:pStyle w:val="Compact"/>
      </w:pPr>
      <w:r>
        <w:t xml:space="preserve">Recycled ABS Plastic Housing: 0.15 kg × 1.5 kgCO</w:t>
      </w:r>
      <w:r>
        <w:rPr>
          <w:vertAlign w:val="subscript"/>
        </w:rPr>
        <w:t xml:space="preserve">2</w:t>
      </w:r>
      <w:r>
        <w:t xml:space="preserve">e/kg = 0.225 kgCO</w:t>
      </w:r>
      <w:r>
        <w:rPr>
          <w:vertAlign w:val="subscript"/>
        </w:rPr>
        <w:t xml:space="preserve">2</w:t>
      </w:r>
      <w:r>
        <w:t xml:space="preserve">e.</w:t>
      </w:r>
    </w:p>
    <w:p>
      <w:pPr>
        <w:numPr>
          <w:ilvl w:val="0"/>
          <w:numId w:val="1010"/>
        </w:numPr>
        <w:pStyle w:val="Compact"/>
      </w:pPr>
      <w:r>
        <w:t xml:space="preserve">Circuit Board (PCBA): 0.05 unit × 5.0 kgCO</w:t>
      </w:r>
      <w:r>
        <w:rPr>
          <w:vertAlign w:val="subscript"/>
        </w:rPr>
        <w:t xml:space="preserve">2</w:t>
      </w:r>
      <w:r>
        <w:t xml:space="preserve">e/unit = 0.250 kgCO</w:t>
      </w:r>
      <w:r>
        <w:rPr>
          <w:vertAlign w:val="subscript"/>
        </w:rPr>
        <w:t xml:space="preserve">2</w:t>
      </w:r>
      <w:r>
        <w:t xml:space="preserve">e.</w:t>
      </w:r>
    </w:p>
    <w:p>
      <w:pPr>
        <w:numPr>
          <w:ilvl w:val="0"/>
          <w:numId w:val="1010"/>
        </w:numPr>
        <w:pStyle w:val="Compact"/>
      </w:pPr>
      <w:r>
        <w:t xml:space="preserve">Copper Wire: 0.01 kg × 3.5 kgCO</w:t>
      </w:r>
      <w:r>
        <w:rPr>
          <w:vertAlign w:val="subscript"/>
        </w:rPr>
        <w:t xml:space="preserve">2</w:t>
      </w:r>
      <w:r>
        <w:t xml:space="preserve">e/kg = 0.035 kgCO</w:t>
      </w:r>
      <w:r>
        <w:rPr>
          <w:vertAlign w:val="subscript"/>
        </w:rPr>
        <w:t xml:space="preserve">2</w:t>
      </w:r>
      <w:r>
        <w:t xml:space="preserve">e.</w:t>
      </w:r>
    </w:p>
    <w:p>
      <w:pPr>
        <w:pStyle w:val="FirstParagraph"/>
      </w:pPr>
      <w:r>
        <w:rPr>
          <w:bCs/>
          <w:b/>
        </w:rPr>
        <w:t xml:space="preserve">Total Material Emissions: 1.850 kgCO</w:t>
      </w:r>
      <w:r>
        <w:rPr>
          <w:vertAlign w:val="subscript"/>
          <w:bCs/>
          <w:b/>
        </w:rPr>
        <w:t xml:space="preserve">2</w:t>
      </w:r>
      <w:r>
        <w:rPr>
          <w:bCs/>
          <w:b/>
        </w:rPr>
        <w:t xml:space="preserve">e</w:t>
      </w:r>
    </w:p>
    <w:bookmarkEnd w:id="32"/>
    <w:bookmarkStart w:id="33" w:name="Xc53beb40135d398e2666f2ba7c015839de69a1c"/>
    <w:p>
      <w:pPr>
        <w:pStyle w:val="Heading2"/>
      </w:pPr>
      <w:r>
        <w:t xml:space="preserve">3.2. Production Phase (Scope 2 / Upstream Scope 3)</w:t>
      </w:r>
    </w:p>
    <w:p>
      <w:pPr>
        <w:pStyle w:val="FirstParagraph"/>
      </w:pPr>
      <w:r>
        <w:t xml:space="preserve">Emissions from energy consumption during the manufacturing process at the factory in China:</w:t>
      </w:r>
    </w:p>
    <w:p>
      <w:pPr>
        <w:numPr>
          <w:ilvl w:val="0"/>
          <w:numId w:val="1011"/>
        </w:numPr>
        <w:pStyle w:val="Compact"/>
      </w:pPr>
      <w:r>
        <w:t xml:space="preserve">Energy Intensity: 1.2 kWh/unit. [cite: drrfwndjgs]</w:t>
      </w:r>
    </w:p>
    <w:p>
      <w:pPr>
        <w:numPr>
          <w:ilvl w:val="0"/>
          <w:numId w:val="1011"/>
        </w:numPr>
        <w:pStyle w:val="Compact"/>
      </w:pPr>
      <w:r>
        <w:t xml:space="preserve">Renewable Energy Usage: 50%. [cite: eknxstjije]</w:t>
      </w:r>
    </w:p>
    <w:p>
      <w:pPr>
        <w:numPr>
          <w:ilvl w:val="0"/>
          <w:numId w:val="1011"/>
        </w:numPr>
        <w:pStyle w:val="Compact"/>
      </w:pPr>
      <w:r>
        <w:t xml:space="preserve">Non-renewable electricity consumed: 1.2 kWh/unit × (1 - 0.50) = 0.6 kWh/unit.</w:t>
      </w:r>
    </w:p>
    <w:p>
      <w:pPr>
        <w:numPr>
          <w:ilvl w:val="0"/>
          <w:numId w:val="1011"/>
        </w:numPr>
        <w:pStyle w:val="Compact"/>
      </w:pPr>
      <w:r>
        <w:t xml:space="preserve">Emission Factor (China Grid Mix): 0.7 kgCO</w:t>
      </w:r>
      <w:r>
        <w:rPr>
          <w:vertAlign w:val="subscript"/>
        </w:rPr>
        <w:t xml:space="preserve">2</w:t>
      </w:r>
      <w:r>
        <w:t xml:space="preserve">e/kWh.</w:t>
      </w:r>
    </w:p>
    <w:p>
      <w:pPr>
        <w:pStyle w:val="FirstParagraph"/>
      </w:pPr>
      <w:r>
        <w:rPr>
          <w:bCs/>
          <w:b/>
        </w:rPr>
        <w:t xml:space="preserve">Total Production Energy Emissions: 0.6 kWh/unit × 0.7 kgCO</w:t>
      </w:r>
      <w:r>
        <w:rPr>
          <w:vertAlign w:val="subscript"/>
          <w:bCs/>
          <w:b/>
        </w:rPr>
        <w:t xml:space="preserve">2</w:t>
      </w:r>
      <w:r>
        <w:rPr>
          <w:bCs/>
          <w:b/>
        </w:rPr>
        <w:t xml:space="preserve">e/kWh = 0.420 kgCO</w:t>
      </w:r>
      <w:r>
        <w:rPr>
          <w:vertAlign w:val="subscript"/>
          <w:bCs/>
          <w:b/>
        </w:rPr>
        <w:t xml:space="preserve">2</w:t>
      </w:r>
      <w:r>
        <w:rPr>
          <w:bCs/>
          <w:b/>
        </w:rPr>
        <w:t xml:space="preserve">e</w:t>
      </w:r>
    </w:p>
    <w:bookmarkEnd w:id="33"/>
    <w:bookmarkStart w:id="34" w:name="transport-phase-scope-3-categories-4-9"/>
    <w:p>
      <w:pPr>
        <w:pStyle w:val="Heading2"/>
      </w:pPr>
      <w:r>
        <w:t xml:space="preserve">3.3. Transport Phase (Scope 3, Categories 4 &amp; 9)</w:t>
      </w:r>
    </w:p>
    <w:p>
      <w:pPr>
        <w:pStyle w:val="FirstParagraph"/>
      </w:pPr>
      <w:r>
        <w:t xml:space="preserve">Emissions from transporting the product throughout its supply chain. The product\'s assumed packed weight is 0.5 kg (0.0005 tonnes).</w:t>
      </w:r>
    </w:p>
    <w:p>
      <w:pPr>
        <w:numPr>
          <w:ilvl w:val="0"/>
          <w:numId w:val="1012"/>
        </w:numPr>
        <w:pStyle w:val="Compact"/>
      </w:pPr>
      <w:r>
        <w:rPr>
          <w:bCs/>
          <w:b/>
        </w:rPr>
        <w:t xml:space="preserve">Primary Distribution (Factory to Europe Hub):</w:t>
      </w:r>
    </w:p>
    <w:p>
      <w:pPr>
        <w:numPr>
          <w:ilvl w:val="1"/>
          <w:numId w:val="1013"/>
        </w:numPr>
        <w:pStyle w:val="Compact"/>
      </w:pPr>
      <w:r>
        <w:t xml:space="preserve">Distance: 1500 km. [cite: vpozvuvdnx]</w:t>
      </w:r>
    </w:p>
    <w:p>
      <w:pPr>
        <w:numPr>
          <w:ilvl w:val="1"/>
          <w:numId w:val="1013"/>
        </w:numPr>
        <w:pStyle w:val="Compact"/>
      </w:pPr>
      <w:r>
        <w:t xml:space="preserve">Mode: Road Freight (Heavy Goods Vehicle &gt;16t). [cite: Select Mode]</w:t>
      </w:r>
    </w:p>
    <w:p>
      <w:pPr>
        <w:numPr>
          <w:ilvl w:val="1"/>
          <w:numId w:val="1013"/>
        </w:numPr>
        <w:pStyle w:val="Compact"/>
      </w:pPr>
      <w:r>
        <w:t xml:space="preserve">Emission Factor: 0.06 kgCO</w:t>
      </w:r>
      <w:r>
        <w:rPr>
          <w:vertAlign w:val="subscript"/>
        </w:rPr>
        <w:t xml:space="preserve">2</w:t>
      </w:r>
      <w:r>
        <w:t xml:space="preserve">e/tonne-km.</w:t>
      </w:r>
    </w:p>
    <w:p>
      <w:pPr>
        <w:numPr>
          <w:ilvl w:val="1"/>
          <w:numId w:val="1013"/>
        </w:numPr>
        <w:pStyle w:val="Compact"/>
      </w:pPr>
      <w:r>
        <w:t xml:space="preserve">Calculation: 0.0005 tonnes × 1500 km × 0.06 kgCO</w:t>
      </w:r>
      <w:r>
        <w:rPr>
          <w:vertAlign w:val="subscript"/>
        </w:rPr>
        <w:t xml:space="preserve">2</w:t>
      </w:r>
      <w:r>
        <w:t xml:space="preserve">e/tonne-km = 0.045 kgCO</w:t>
      </w:r>
      <w:r>
        <w:rPr>
          <w:vertAlign w:val="subscript"/>
        </w:rPr>
        <w:t xml:space="preserve">2</w:t>
      </w:r>
      <w:r>
        <w:t xml:space="preserve">e.</w:t>
      </w:r>
    </w:p>
    <w:p>
      <w:pPr>
        <w:numPr>
          <w:ilvl w:val="0"/>
          <w:numId w:val="1012"/>
        </w:numPr>
        <w:pStyle w:val="Compact"/>
      </w:pPr>
      <w:r>
        <w:rPr>
          <w:bCs/>
          <w:b/>
        </w:rPr>
        <w:t xml:space="preserve">Last-Mile Delivery (within Europe):</w:t>
      </w:r>
    </w:p>
    <w:p>
      <w:pPr>
        <w:numPr>
          <w:ilvl w:val="1"/>
          <w:numId w:val="1014"/>
        </w:numPr>
        <w:pStyle w:val="Compact"/>
      </w:pPr>
      <w:r>
        <w:t xml:space="preserve">Distance: 50 km. [cite: vpozvuvdnx]</w:t>
      </w:r>
    </w:p>
    <w:p>
      <w:pPr>
        <w:numPr>
          <w:ilvl w:val="1"/>
          <w:numId w:val="1014"/>
        </w:numPr>
        <w:pStyle w:val="Compact"/>
      </w:pPr>
      <w:r>
        <w:t xml:space="preserve">Mode: Light Commercial Vehicle (Van). [cite: Delivery Type]</w:t>
      </w:r>
    </w:p>
    <w:p>
      <w:pPr>
        <w:numPr>
          <w:ilvl w:val="1"/>
          <w:numId w:val="1014"/>
        </w:numPr>
        <w:pStyle w:val="Compact"/>
      </w:pPr>
      <w:r>
        <w:t xml:space="preserve">Emission Factor: 0.15 kgCO</w:t>
      </w:r>
      <w:r>
        <w:rPr>
          <w:vertAlign w:val="subscript"/>
        </w:rPr>
        <w:t xml:space="preserve">2</w:t>
      </w:r>
      <w:r>
        <w:t xml:space="preserve">e/tonne-km.</w:t>
      </w:r>
    </w:p>
    <w:p>
      <w:pPr>
        <w:numPr>
          <w:ilvl w:val="1"/>
          <w:numId w:val="1014"/>
        </w:numPr>
        <w:pStyle w:val="Compact"/>
      </w:pPr>
      <w:r>
        <w:t xml:space="preserve">Calculation: 0.0005 tonnes × 50 km × 0.15 kgCO</w:t>
      </w:r>
      <w:r>
        <w:rPr>
          <w:vertAlign w:val="subscript"/>
        </w:rPr>
        <w:t xml:space="preserve">2</w:t>
      </w:r>
      <w:r>
        <w:t xml:space="preserve">e/tonne-km = 0.00375 kgCO</w:t>
      </w:r>
      <w:r>
        <w:rPr>
          <w:vertAlign w:val="subscript"/>
        </w:rPr>
        <w:t xml:space="preserve">2</w:t>
      </w:r>
      <w:r>
        <w:t xml:space="preserve">e.</w:t>
      </w:r>
    </w:p>
    <w:p>
      <w:pPr>
        <w:pStyle w:val="FirstParagraph"/>
      </w:pPr>
      <w:r>
        <w:rPr>
          <w:bCs/>
          <w:b/>
        </w:rPr>
        <w:t xml:space="preserve">Total Transport Emissions: 0.045 + 0.00375 = 0.04875 kgCO</w:t>
      </w:r>
      <w:r>
        <w:rPr>
          <w:vertAlign w:val="subscript"/>
          <w:bCs/>
          <w:b/>
        </w:rPr>
        <w:t xml:space="preserve">2</w:t>
      </w:r>
      <w:r>
        <w:rPr>
          <w:bCs/>
          <w:b/>
        </w:rPr>
        <w:t xml:space="preserve">e</w:t>
      </w:r>
    </w:p>
    <w:bookmarkEnd w:id="34"/>
    <w:bookmarkStart w:id="35" w:name="use-phase-scope-3-category-11"/>
    <w:p>
      <w:pPr>
        <w:pStyle w:val="Heading2"/>
      </w:pPr>
      <w:r>
        <w:t xml:space="preserve">3.4. Use Phase (Scope 3, Category 11)</w:t>
      </w:r>
    </w:p>
    <w:p>
      <w:pPr>
        <w:pStyle w:val="FirstParagraph"/>
      </w:pPr>
      <w:r>
        <w:t xml:space="preserve">Emissions from the energy consumed during the product\'s lifespan:</w:t>
      </w:r>
    </w:p>
    <w:p>
      <w:pPr>
        <w:numPr>
          <w:ilvl w:val="0"/>
          <w:numId w:val="1015"/>
        </w:numPr>
        <w:pStyle w:val="Compact"/>
      </w:pPr>
      <w:r>
        <w:t xml:space="preserve">Energy Consumption in Use: 0.05 kWh/day. [cite: zwhwmutizf]</w:t>
      </w:r>
    </w:p>
    <w:p>
      <w:pPr>
        <w:numPr>
          <w:ilvl w:val="0"/>
          <w:numId w:val="1015"/>
        </w:numPr>
        <w:pStyle w:val="Compact"/>
      </w:pPr>
      <w:r>
        <w:t xml:space="preserve">Product Lifespan: 5 years × 365 days/year = 1825 days. [cite: qsfrvsvoxg]</w:t>
      </w:r>
    </w:p>
    <w:p>
      <w:pPr>
        <w:numPr>
          <w:ilvl w:val="0"/>
          <w:numId w:val="1015"/>
        </w:numPr>
        <w:pStyle w:val="Compact"/>
      </w:pPr>
      <w:r>
        <w:t xml:space="preserve">Total Energy Consumed: 0.05 kWh/day × 1825 days = 91.25 kWh.</w:t>
      </w:r>
    </w:p>
    <w:p>
      <w:pPr>
        <w:numPr>
          <w:ilvl w:val="0"/>
          <w:numId w:val="1015"/>
        </w:numPr>
        <w:pStyle w:val="Compact"/>
      </w:pPr>
      <w:r>
        <w:t xml:space="preserve">Emission Factor (European Grid Mix): 0.181 kgCO</w:t>
      </w:r>
      <w:r>
        <w:rPr>
          <w:vertAlign w:val="subscript"/>
        </w:rPr>
        <w:t xml:space="preserve">2</w:t>
      </w:r>
      <w:r>
        <w:t xml:space="preserve">e/kWh.</w:t>
      </w:r>
    </w:p>
    <w:p>
      <w:pPr>
        <w:pStyle w:val="FirstParagraph"/>
      </w:pPr>
      <w:r>
        <w:rPr>
          <w:bCs/>
          <w:b/>
        </w:rPr>
        <w:t xml:space="preserve">Total Use Phase Emissions: 91.25 kWh × 0.181 kgCO</w:t>
      </w:r>
      <w:r>
        <w:rPr>
          <w:vertAlign w:val="subscript"/>
          <w:bCs/>
          <w:b/>
        </w:rPr>
        <w:t xml:space="preserve">2</w:t>
      </w:r>
      <w:r>
        <w:rPr>
          <w:bCs/>
          <w:b/>
        </w:rPr>
        <w:t xml:space="preserve">e/kWh = 16.51625 kgCO</w:t>
      </w:r>
      <w:r>
        <w:rPr>
          <w:vertAlign w:val="subscript"/>
          <w:bCs/>
          <w:b/>
        </w:rPr>
        <w:t xml:space="preserve">2</w:t>
      </w:r>
      <w:r>
        <w:rPr>
          <w:bCs/>
          <w:b/>
        </w:rPr>
        <w:t xml:space="preserve">e</w:t>
      </w:r>
    </w:p>
    <w:bookmarkEnd w:id="35"/>
    <w:bookmarkStart w:id="36" w:name="X210143e50433bf4e7687bdfefe45c681f300a44"/>
    <w:p>
      <w:pPr>
        <w:pStyle w:val="Heading2"/>
      </w:pPr>
      <w:r>
        <w:t xml:space="preserve">3.5. End-of-Life (EoL) Phase (Scope 3, Category 12)</w:t>
      </w:r>
    </w:p>
    <w:p>
      <w:pPr>
        <w:pStyle w:val="FirstParagraph"/>
      </w:pPr>
      <w:r>
        <w:t xml:space="preserve">Emissions and potential avoided emissions from the disposal and recovery processes:</w:t>
      </w:r>
    </w:p>
    <w:p>
      <w:pPr>
        <w:numPr>
          <w:ilvl w:val="0"/>
          <w:numId w:val="1016"/>
        </w:numPr>
        <w:pStyle w:val="Compact"/>
      </w:pPr>
      <w:r>
        <w:t xml:space="preserve">Recyclability Percentage: 80% of material mass. [cite: mkokxplgrh]</w:t>
      </w:r>
    </w:p>
    <w:p>
      <w:pPr>
        <w:numPr>
          <w:ilvl w:val="0"/>
          <w:numId w:val="1016"/>
        </w:numPr>
        <w:pStyle w:val="Compact"/>
      </w:pPr>
      <w:r>
        <w:t xml:space="preserve">Circular/Take-back Programs: Active take-back program with a 70% return rate. [cite: mzipskmgsz]</w:t>
      </w:r>
    </w:p>
    <w:p>
      <w:pPr>
        <w:pStyle w:val="FirstParagraph"/>
      </w:pPr>
      <w:r>
        <w:t xml:space="preserve">Due to the high recyclability of the Eco-Smart Widget\'s materials and the strong take-back program, the end-of-life impacts are significantly mitigated. The 80% recyclability rate, combined with a 70% return rate for end-of-life processing, means a substantial portion of the product\'s materials will be diverted from landfill or incineration and potentially displace virgin material production. While precise quantification of EoL emissions and credits would require specific material-level EoL factors (e.g., energy for sorting, processing, avoided production), which were not provided, these circular economy initiatives are expected to result in a net positive environmental outcome, substantially reducing the overall cradle-to-grave footprint. For this report, the EoL phase is considered largely neutral or beneficial due to these efforts, and specific CO</w:t>
      </w:r>
      <w:r>
        <w:rPr>
          <w:vertAlign w:val="subscript"/>
        </w:rPr>
        <w:t xml:space="preserve">2</w:t>
      </w:r>
      <w:r>
        <w:t xml:space="preserve">e debits/credits are not added to the total due to the lack of granular data, but its positive impact is noted as per GHG Protocol principles.</w:t>
      </w:r>
    </w:p>
    <w:p>
      <w:r>
        <w:pict>
          <v:rect style="width:0;height:1.5pt" o:hralign="center" o:hrstd="t" o:hr="t"/>
        </w:pict>
      </w:r>
    </w:p>
    <w:bookmarkEnd w:id="36"/>
    <w:bookmarkEnd w:id="37"/>
    <w:bookmarkStart w:id="38" w:name="X299a3717db401fbc63eac38de0814f3ad8939f4"/>
    <w:p>
      <w:pPr>
        <w:pStyle w:val="Heading1"/>
      </w:pPr>
      <w:r>
        <w:t xml:space="preserve">4. Total Product Carbon Footprint (PCF) Summary</w:t>
      </w:r>
    </w:p>
    <w:p>
      <w:pPr>
        <w:pStyle w:val="FirstParagraph"/>
      </w:pPr>
      <w:r>
        <w:t xml:space="preserve">The total Product Carbon Footprint for one functional unit of the Eco-Smart Widget (ylqultpqgy) is summarized below. This represents a cradle-to-grave assessment, excluding precise EoL credits/debits where detailed factors were not available.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 (Primary)</w:t>
            </w:r>
          </w:p>
        </w:tc>
        <w:tc>
          <w:tcPr/>
          <w:p>
            <w:pPr>
              <w:pStyle w:val="Compact"/>
              <w:jc w:val="left"/>
            </w:pPr>
            <w:r>
              <w:t xml:space="preserve">Emissions (kgCO</w:t>
            </w:r>
            <w:r>
              <w:rPr>
                <w:vertAlign w:val="subscript"/>
              </w:rPr>
              <w:t xml:space="preserve">2</w:t>
            </w:r>
            <w:r>
              <w:t xml:space="preserve">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1.850</w:t>
            </w:r>
          </w:p>
        </w:tc>
        <w:tc>
          <w:tcPr/>
          <w:p>
            <w:pPr>
              <w:pStyle w:val="Compact"/>
              <w:jc w:val="left"/>
            </w:pPr>
            <w:r>
              <w:t xml:space="preserve">10.15%</w:t>
            </w:r>
          </w:p>
        </w:tc>
      </w:tr>
      <w:tr>
        <w:tc>
          <w:tcPr/>
          <w:p>
            <w:pPr>
              <w:pStyle w:val="Compact"/>
              <w:jc w:val="left"/>
            </w:pPr>
            <w:r>
              <w:t xml:space="preserve">Production Phase (Purchased Electricity)</w:t>
            </w:r>
          </w:p>
        </w:tc>
        <w:tc>
          <w:tcPr/>
          <w:p>
            <w:pPr>
              <w:pStyle w:val="Compact"/>
              <w:jc w:val="left"/>
            </w:pPr>
            <w:r>
              <w:t xml:space="preserve">Scope 2 / Scope 3 (Category 3)</w:t>
            </w:r>
          </w:p>
        </w:tc>
        <w:tc>
          <w:tcPr/>
          <w:p>
            <w:pPr>
              <w:pStyle w:val="Compact"/>
              <w:jc w:val="left"/>
            </w:pPr>
            <w:r>
              <w:t xml:space="preserve">0.420</w:t>
            </w:r>
          </w:p>
        </w:tc>
        <w:tc>
          <w:tcPr/>
          <w:p>
            <w:pPr>
              <w:pStyle w:val="Compact"/>
              <w:jc w:val="left"/>
            </w:pPr>
            <w:r>
              <w:t xml:space="preserve">2.31%</w:t>
            </w:r>
          </w:p>
        </w:tc>
      </w:tr>
      <w:tr>
        <w:tc>
          <w:tcPr/>
          <w:p>
            <w:pPr>
              <w:pStyle w:val="Compact"/>
              <w:jc w:val="left"/>
            </w:pPr>
            <w:r>
              <w:t xml:space="preserve">Transport Phase</w:t>
            </w:r>
          </w:p>
        </w:tc>
        <w:tc>
          <w:tcPr/>
          <w:p>
            <w:pPr>
              <w:pStyle w:val="Compact"/>
              <w:jc w:val="left"/>
            </w:pPr>
            <w:r>
              <w:t xml:space="preserve">Scope 3 (Categories 4 &amp; 9)</w:t>
            </w:r>
          </w:p>
        </w:tc>
        <w:tc>
          <w:tcPr/>
          <w:p>
            <w:pPr>
              <w:pStyle w:val="Compact"/>
              <w:jc w:val="left"/>
            </w:pPr>
            <w:r>
              <w:t xml:space="preserve">0.049</w:t>
            </w:r>
          </w:p>
        </w:tc>
        <w:tc>
          <w:tcPr/>
          <w:p>
            <w:pPr>
              <w:pStyle w:val="Compact"/>
              <w:jc w:val="left"/>
            </w:pPr>
            <w:r>
              <w:t xml:space="preserve">0.27%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16.516</w:t>
            </w:r>
          </w:p>
        </w:tc>
        <w:tc>
          <w:tcPr/>
          <w:p>
            <w:pPr>
              <w:pStyle w:val="Compact"/>
              <w:jc w:val="left"/>
            </w:pPr>
            <w:r>
              <w:t xml:space="preserve">87.27%</w:t>
            </w:r>
          </w:p>
        </w:tc>
      </w:tr>
      <w:tr>
        <w:tc>
          <w:tcPr/>
          <w:p>
            <w:pPr>
              <w:pStyle w:val="Compact"/>
              <w:jc w:val="left"/>
            </w:pPr>
            <w:r>
              <w:t xml:space="preserve">End-of-Life (Qualitative Impact)</w:t>
            </w:r>
          </w:p>
        </w:tc>
        <w:tc>
          <w:tcPr/>
          <w:p>
            <w:pPr>
              <w:pStyle w:val="Compact"/>
              <w:jc w:val="left"/>
            </w:pPr>
            <w:r>
              <w:t xml:space="preserve">Scope 3 (Category 12)</w:t>
            </w:r>
          </w:p>
        </w:tc>
        <w:tc>
          <w:tcPr/>
          <w:p>
            <w:pPr>
              <w:pStyle w:val="Compact"/>
              <w:jc w:val="left"/>
            </w:pPr>
            <w:r>
              <w:t xml:space="preserve">(Significantly mitigated)</w:t>
            </w:r>
          </w:p>
        </w:tc>
        <w:tc>
          <w:tcPr/>
          <w:p>
            <w:pPr>
              <w:pStyle w:val="Compact"/>
              <w:jc w:val="left"/>
            </w:pPr>
            <w:r>
              <w:t xml:space="preserve">N/A</w:t>
            </w:r>
          </w:p>
        </w:tc>
      </w:tr>
      <w:tr>
        <w:tc>
          <w:tcPr>
            <w:gridSpan w:val="2"/>
          </w:tcPr>
          <w:p>
            <w:pPr>
              <w:pStyle w:val="Compact"/>
              <w:jc w:val="right"/>
            </w:pPr>
            <w:r>
              <w:rPr>
                <w:bCs/>
                <w:b/>
              </w:rPr>
              <w:t xml:space="preserve">Total PCF (Cradle-to-Use Gate):</w:t>
            </w:r>
          </w:p>
        </w:tc>
        <w:tc>
          <w:tcPr/>
          <w:p>
            <w:pPr>
              <w:pStyle w:val="Compact"/>
              <w:jc w:val="left"/>
            </w:pPr>
            <w:r>
              <w:rPr>
                <w:bCs/>
                <w:b/>
              </w:rPr>
              <w:t xml:space="preserve">18.835 kgCO</w:t>
            </w:r>
            <w:r>
              <w:rPr>
                <w:vertAlign w:val="subscript"/>
                <w:bCs/>
                <w:b/>
              </w:rPr>
              <w:t xml:space="preserve">2</w:t>
            </w:r>
            <w:r>
              <w:rPr>
                <w:bCs/>
                <w:b/>
              </w:rPr>
              <w:t xml:space="preserve">e</w:t>
            </w:r>
          </w:p>
        </w:tc>
        <w:tc>
          <w:tcPr/>
          <w:p>
            <w:pPr>
              <w:pStyle w:val="Compact"/>
              <w:jc w:val="left"/>
            </w:pPr>
            <w:r>
              <w:rPr>
                <w:bCs/>
                <w:b/>
              </w:rPr>
              <w:t xml:space="preserve">100.00%</w:t>
            </w:r>
          </w:p>
        </w:tc>
      </w:tr>
    </w:tbl>
    <w:p>
      <w:r>
        <w:pict>
          <v:rect style="width:0;height:1.5pt" o:hralign="center" o:hrstd="t" o:hr="t"/>
        </w:pict>
      </w:r>
    </w:p>
    <w:bookmarkEnd w:id="38"/>
    <w:bookmarkStart w:id="43" w:name="review-reporting"/>
    <w:p>
      <w:pPr>
        <w:pStyle w:val="Heading1"/>
      </w:pPr>
      <w:r>
        <w:t xml:space="preserve">5. Review &amp; Reporting</w:t>
      </w:r>
    </w:p>
    <w:bookmarkStart w:id="39" w:name="hotspot-analysis"/>
    <w:p>
      <w:pPr>
        <w:pStyle w:val="Heading2"/>
      </w:pPr>
      <w:r>
        <w:t xml:space="preserve">5.1. Hotspot Analysis</w:t>
      </w:r>
    </w:p>
    <w:p>
      <w:pPr>
        <w:pStyle w:val="FirstParagraph"/>
      </w:pPr>
      <w:r>
        <w:t xml:space="preserve">The analysis clearly identifies the Use Phase as the primary hotspot for GHG emissions, accounting for approximately 87.27% of the total PCF. This is driven by the product\'s energy consumption over its 5-year lifespan. The material acquisition phase is the second most significant contributor at 10.15%, primarily due to the energy-intensive nature of aluminum production. The production and transport phases, while important, contribute a smaller percentage to the overall footprint.</w:t>
      </w:r>
    </w:p>
    <w:bookmarkEnd w:id="39"/>
    <w:bookmarkStart w:id="40" w:name="reliability-and-limitations"/>
    <w:p>
      <w:pPr>
        <w:pStyle w:val="Heading2"/>
      </w:pPr>
      <w:r>
        <w:t xml:space="preserve">5.2. Reliability and Limitations</w:t>
      </w:r>
    </w:p>
    <w:p>
      <w:pPr>
        <w:pStyle w:val="FirstParagraph"/>
      </w:pPr>
      <w:r>
        <w:t xml:space="preserve">The reliability of this PCF is enhanced by using specific primary data for BOM, energy usage, and logistics. However, it also relies on secondary, industry-average emission factors from databases like Ecoinvent and DEFRA where primary supplier-specific data was unavailable.</w:t>
      </w:r>
    </w:p>
    <w:p>
      <w:pPr>
        <w:numPr>
          <w:ilvl w:val="0"/>
          <w:numId w:val="1017"/>
        </w:numPr>
        <w:pStyle w:val="Compact"/>
      </w:pPr>
      <w:r>
        <w:rPr>
          <w:bCs/>
          <w:b/>
        </w:rPr>
        <w:t xml:space="preserve">Data Gaps:</w:t>
      </w:r>
      <w:r>
        <w:t xml:space="preserve"> </w:t>
      </w:r>
      <w:r>
        <w:t xml:space="preserve">Precise, site-specific emission factors for all raw material processes or detailed EoL treatment processes were not available, necessitating the use of regional or global averages.</w:t>
      </w:r>
    </w:p>
    <w:p>
      <w:pPr>
        <w:numPr>
          <w:ilvl w:val="0"/>
          <w:numId w:val="1017"/>
        </w:numPr>
        <w:pStyle w:val="Compact"/>
      </w:pPr>
      <w:r>
        <w:rPr>
          <w:bCs/>
          <w:b/>
        </w:rPr>
        <w:t xml:space="preserve">Assumptions:</w:t>
      </w:r>
      <w:r>
        <w:t xml:space="preserve"> </w:t>
      </w:r>
      <w:r>
        <w:t xml:space="preserve">Assumptions were made for certain transport distances (e.g., 50 km for last-mile delivery) and the average grid mix for electricity in China and Europe.</w:t>
      </w:r>
    </w:p>
    <w:p>
      <w:pPr>
        <w:numPr>
          <w:ilvl w:val="0"/>
          <w:numId w:val="1017"/>
        </w:numPr>
        <w:pStyle w:val="Compact"/>
      </w:pPr>
      <w:r>
        <w:rPr>
          <w:bCs/>
          <w:b/>
        </w:rPr>
        <w:t xml:space="preserve">EoL Quantification:</w:t>
      </w:r>
      <w:r>
        <w:t xml:space="preserve"> </w:t>
      </w:r>
      <w:r>
        <w:t xml:space="preserve">Due to the complexity of quantifying avoided emissions from recycling and circular programs without specific material-level EoL factors, the EoL phase\'s net impact is discussed qualitatively.</w:t>
      </w:r>
    </w:p>
    <w:bookmarkEnd w:id="40"/>
    <w:bookmarkStart w:id="42" w:name="recommendations-for-mznreflzep"/>
    <w:p>
      <w:pPr>
        <w:pStyle w:val="Heading2"/>
      </w:pPr>
      <w:r>
        <w:t xml:space="preserve">5.3. Recommendations for mznreflzep</w:t>
      </w:r>
    </w:p>
    <w:p>
      <w:pPr>
        <w:pStyle w:val="FirstParagraph"/>
      </w:pPr>
      <w:r>
        <w:t xml:space="preserve">Based on this PCF analysis, mznreflzep should consider the following:</w:t>
      </w:r>
    </w:p>
    <w:p>
      <w:pPr>
        <w:numPr>
          <w:ilvl w:val="0"/>
          <w:numId w:val="1018"/>
        </w:numPr>
        <w:pStyle w:val="Compact"/>
      </w:pPr>
      <w:r>
        <w:rPr>
          <w:bCs/>
          <w:b/>
        </w:rPr>
        <w:t xml:space="preserve">Use Phase Decarbonization:</w:t>
      </w:r>
      <w:r>
        <w:t xml:space="preserve"> </w:t>
      </w:r>
      <w:r>
        <w:t xml:space="preserve">Prioritize efforts to reduce energy consumption during the product\'s use phase. This could involve exploring more energy-efficient designs, optimizing software/firmware for lower power draw, or providing incentives for users to power down when not in use.</w:t>
      </w:r>
    </w:p>
    <w:p>
      <w:pPr>
        <w:numPr>
          <w:ilvl w:val="0"/>
          <w:numId w:val="1018"/>
        </w:numPr>
        <w:pStyle w:val="Compact"/>
      </w:pPr>
      <w:r>
        <w:rPr>
          <w:bCs/>
          <w:b/>
        </w:rPr>
        <w:t xml:space="preserve">Supply Chain Engagement:</w:t>
      </w:r>
      <w:r>
        <w:t xml:space="preserve"> </w:t>
      </w:r>
      <w:r>
        <w:t xml:space="preserve">Engage with material suppliers to gather more primary data on their production processes and explore opportunities for sourcing lower-carbon materials or materials produced with higher renewable energy mixes.</w:t>
      </w:r>
    </w:p>
    <w:p>
      <w:pPr>
        <w:numPr>
          <w:ilvl w:val="0"/>
          <w:numId w:val="1018"/>
        </w:numPr>
        <w:pStyle w:val="Compact"/>
      </w:pPr>
      <w:r>
        <w:rPr>
          <w:bCs/>
          <w:b/>
        </w:rPr>
        <w:t xml:space="preserve">Renewable Energy Expansion:</w:t>
      </w:r>
      <w:r>
        <w:t xml:space="preserve"> </w:t>
      </w:r>
      <w:r>
        <w:t xml:space="preserve">Increase the percentage of renewable energy used in mznreflzep\'s own manufacturing operations beyond the current 50% to further reduce production-related emissions.</w:t>
      </w:r>
    </w:p>
    <w:p>
      <w:pPr>
        <w:numPr>
          <w:ilvl w:val="0"/>
          <w:numId w:val="1018"/>
        </w:numPr>
        <w:pStyle w:val="Compact"/>
      </w:pPr>
      <w:r>
        <w:rPr>
          <w:bCs/>
          <w:b/>
        </w:rPr>
        <w:t xml:space="preserve">Circular Economy Enhancement:</w:t>
      </w:r>
      <w:r>
        <w:t xml:space="preserve"> </w:t>
      </w:r>
      <w:r>
        <w:t xml:space="preserve">Continue to strengthen circularity efforts, including expanding the take-back program and exploring innovative recycling technologies to maximize material recovery and minimize waste.</w:t>
      </w:r>
    </w:p>
    <w:p>
      <w:pPr>
        <w:numPr>
          <w:ilvl w:val="0"/>
          <w:numId w:val="1018"/>
        </w:numPr>
        <w:pStyle w:val="Compact"/>
      </w:pPr>
      <w:r>
        <w:rPr>
          <w:bCs/>
          <w:b/>
        </w:rPr>
        <w:t xml:space="preserve">Further Data Collection:</w:t>
      </w:r>
      <w:r>
        <w:t xml:space="preserve"> </w:t>
      </w:r>
      <w:r>
        <w:t xml:space="preserve">For future PCF analyses, aim to collect more primary data for all Scope 3 categories to enhance accuracy and meet evolving reporting requirements for data disaggregation.</w:t>
      </w:r>
    </w:p>
    <w:p>
      <w:r>
        <w:pict>
          <v:rect style="width:0;height:1.5pt" o:hralign="center" o:hrstd="t" o:hr="t"/>
        </w:pict>
      </w:r>
    </w:p>
    <w:p>
      <w:pPr>
        <w:pStyle w:val="FirstParagraph"/>
      </w:pPr>
      <w:r>
        <w:t xml:space="preserve">Confidential - Internal Use Only | Page</w:t>
      </w:r>
      <w:r>
        <w:t xml:space="preserve"> </w:t>
      </w:r>
      <w:bookmarkStart w:id="41" w:name="pageNumber"/>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Widget</dc:title>
  <dc:creator/>
  <dc:description>Detailed Product Carbon Footprint (PCF) analysis for Eco-Smart Widget by mznreflzep, adhering to GHG Protocol standards and 2026 updates.</dc:description>
  <dc:language>en</dc:language>
  <cp:keywords/>
  <dcterms:created xsi:type="dcterms:W3CDTF">2026-05-30T16:57:54Z</dcterms:created>
  <dcterms:modified xsi:type="dcterms:W3CDTF">2026-05-30T16:57:54Z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