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r>
        <w:t xml:space="preserve"> </w:t>
      </w:r>
      <w:r>
        <w:t xml:space="preserve">(wlmjpfdtjd)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Eco-Smart Widget (wlmjpfdtjd)</w:t>
      </w:r>
    </w:p>
    <w:p>
      <w:pPr>
        <w:pStyle w:val="BodyText"/>
      </w:pPr>
      <w:r>
        <w:rPr>
          <w:bCs/>
          <w:b/>
        </w:rPr>
        <w:t xml:space="preserve">Company:</w:t>
      </w:r>
      <w:r>
        <w:t xml:space="preserve"> </w:t>
      </w:r>
      <w:r>
        <w:t xml:space="preserve">nipholhsdv</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esgxxlnovt</w:t>
      </w:r>
    </w:p>
    <w:p>
      <w:pPr>
        <w:pStyle w:val="BodyText"/>
      </w:pPr>
      <w:r>
        <w:t xml:space="preserve">This report is generated based on available data and industry standards. While every effort has been made to ensure accuracy, specific values may vary based on real-world conditions and evolving emission factors.</w:t>
      </w:r>
    </w:p>
    <w:bookmarkEnd w:id="20"/>
    <w:bookmarkStart w:id="45"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"Eco-Smart Widget" (wlmjpfdtjd), manufactured by nipholhsdv. The analysis was conducted by Senior Sustainability Consultant esgxxlnovt, adhering strictly to the GHG Protocol accounting standard, with a focus on 2026 reporting requirements including the Land Sector and Removals (LSR) Standard and 95% Scope 3 coverage. The comprehensive assessment covers the product\'s lifecycle from raw material extraction (cradle) through manufacturing, distribution, use, and end-of-life (grave). The total Product Carbon Footprint for one functional unit of the Eco-Smart Widget is estimated to be 48.96 kgCO2e. The Use Phase of the product was identified as the primary hotspot, contributing the majority of the overall emissions.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Product Carbon Footprint (PCF) analysis is conducted in accordance with the Greenhouse Gas (GHG) Protocol standards, providing a comprehensive assessment of the "Eco-Smart Widget" (wlmjpfdtjd).</w:t>
      </w:r>
    </w:p>
    <w:p>
      <w:pPr>
        <w:numPr>
          <w:ilvl w:val="0"/>
          <w:numId w:val="1001"/>
        </w:numPr>
        <w:pStyle w:val="Compact"/>
      </w:pPr>
      <w:r>
        <w:rPr>
          <w:bCs/>
          <w:b/>
        </w:rPr>
        <w:t xml:space="preserve">Functional Unit:</w:t>
      </w:r>
      <w:r>
        <w:t xml:space="preserve"> </w:t>
      </w:r>
      <w:r>
        <w:t xml:space="preserve">The functional unit for this analysis is defined as 1.0 unit of the Eco-Smart Widget, serving its intended purpose over its estimated lifespan.</w:t>
      </w:r>
    </w:p>
    <w:p>
      <w:pPr>
        <w:numPr>
          <w:ilvl w:val="0"/>
          <w:numId w:val="1001"/>
        </w:numPr>
        <w:pStyle w:val="Compact"/>
      </w:pPr>
      <w:r>
        <w:rPr>
          <w:bCs/>
          <w:b/>
        </w:rPr>
        <w:t xml:space="preserve">System Boundary:</w:t>
      </w:r>
      <w:r>
        <w:t xml:space="preserve"> </w:t>
      </w:r>
      <w:r>
        <w:t xml:space="preserve">While the primary production boundary for nipholhsdv is defined as "factory_gate" for direct operational control, this report extends the analysis to a "cradle-to-grave" perspective. This includes all upstream (raw material extraction, component manufacturing, inbound transport) and downstream (outbound transport, use phase, end-of-life treatment) impacts to provide a holistic view of the product\'s environmental footprint.</w:t>
      </w:r>
    </w:p>
    <w:p>
      <w:pPr>
        <w:numPr>
          <w:ilvl w:val="0"/>
          <w:numId w:val="1001"/>
        </w:numPr>
        <w:pStyle w:val="Compact"/>
      </w:pPr>
      <w:r>
        <w:rPr>
          <w:bCs/>
          <w:b/>
        </w:rPr>
        <w:t xml:space="preserve">Geographic Scope:</w:t>
      </w:r>
      <w:r>
        <w:t xml:space="preserve"> </w:t>
      </w:r>
      <w:r>
        <w:t xml:space="preserve">The final production country for the Eco-Smart Widget is China, with a supply chain focus on Europe for key components and distribution to the European market.</w:t>
      </w:r>
    </w:p>
    <w:p>
      <w:pPr>
        <w:numPr>
          <w:ilvl w:val="0"/>
          <w:numId w:val="1001"/>
        </w:numPr>
        <w:pStyle w:val="Compact"/>
      </w:pPr>
      <w:r>
        <w:rPr>
          <w:bCs/>
          <w:b/>
        </w:rPr>
        <w:t xml:space="preserve">Accounting Standard:</w:t>
      </w:r>
      <w:r>
        <w:t xml:space="preserve"> </w:t>
      </w:r>
      <w:r>
        <w:t xml:space="preserve">The analysis strictly adheres to the GHG Protocol Corporate Value Chain (Scope 3) Accounting and Reporting Standard.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Environmental impacts are allocated to the functional unit based on mass and direct attribution where specific data is available. For shared processes (e.g., transport), allocation is based on mass-distance principles.</w:t>
      </w:r>
    </w:p>
    <w:p>
      <w:r>
        <w:pict>
          <v:rect style="width:0;height:1.5pt" o:hralign="center" o:hrstd="t" o:hr="t"/>
        </w:pict>
      </w:r>
    </w:p>
    <w:bookmarkEnd w:id="22"/>
    <w:bookmarkStart w:id="23" w:name="lifecycle-mapping-lci-inventory-stages"/>
    <w:p>
      <w:pPr>
        <w:pStyle w:val="Heading2"/>
      </w:pPr>
      <w:r>
        <w:t xml:space="preserve">2. Lifecycle Mapping (LCI Inventory Stages)</w:t>
      </w:r>
    </w:p>
    <w:p>
      <w:pPr>
        <w:pStyle w:val="FirstParagraph"/>
      </w:pPr>
      <w:r>
        <w:t xml:space="preserve">The lifecycle of the Eco-Smart Widget (wlmjpfdtjd) has been mapped across the following stages, representing a comprehensive "cradle-to-grave" assessment:</w:t>
      </w:r>
    </w:p>
    <w:p>
      <w:pPr>
        <w:numPr>
          <w:ilvl w:val="0"/>
          <w:numId w:val="1002"/>
        </w:numPr>
        <w:pStyle w:val="Compact"/>
      </w:pPr>
      <w:r>
        <w:rPr>
          <w:bCs/>
          <w:b/>
        </w:rPr>
        <w:t xml:space="preserve">Raw Material Acquisition and Pre-processing (Upstream - Scope 3, Category 1):</w:t>
      </w:r>
    </w:p>
    <w:p>
      <w:pPr>
        <w:numPr>
          <w:ilvl w:val="1"/>
          <w:numId w:val="1003"/>
        </w:numPr>
        <w:pStyle w:val="Compact"/>
      </w:pPr>
      <w:r>
        <w:t xml:space="preserve">Extraction and initial processing of all materials listed in the Detailed Bill of Materials (BOM).</w:t>
      </w:r>
    </w:p>
    <w:p>
      <w:pPr>
        <w:numPr>
          <w:ilvl w:val="1"/>
          <w:numId w:val="1003"/>
        </w:numPr>
        <w:pStyle w:val="Compact"/>
      </w:pPr>
      <w:r>
        <w:t xml:space="preserve">Manufacturing of components from these raw materials.</w:t>
      </w:r>
    </w:p>
    <w:p>
      <w:pPr>
        <w:numPr>
          <w:ilvl w:val="0"/>
          <w:numId w:val="1002"/>
        </w:numPr>
        <w:pStyle w:val="Compact"/>
      </w:pPr>
      <w:r>
        <w:rPr>
          <w:bCs/>
          <w:b/>
        </w:rPr>
        <w:t xml:space="preserve">Manufacturing (nipholhsdv\'s Production - Scope 1 &amp; 2):</w:t>
      </w:r>
    </w:p>
    <w:p>
      <w:pPr>
        <w:numPr>
          <w:ilvl w:val="1"/>
          <w:numId w:val="1004"/>
        </w:numPr>
        <w:pStyle w:val="Compact"/>
      </w:pPr>
      <w:r>
        <w:t xml:space="preserve">Direct emissions from owned or controlled sources at the production facility (Scope 1, assumed negligible for product-specific PCF in this factory_gate scenario).</w:t>
      </w:r>
    </w:p>
    <w:p>
      <w:pPr>
        <w:numPr>
          <w:ilvl w:val="1"/>
          <w:numId w:val="1004"/>
        </w:numPr>
        <w:pStyle w:val="Compact"/>
      </w:pPr>
      <w:r>
        <w:t xml:space="preserve">Indirect emissions from purchased electricity consumed during the assembly and manufacturing processes in China (Scope 2).</w:t>
      </w:r>
    </w:p>
    <w:p>
      <w:pPr>
        <w:numPr>
          <w:ilvl w:val="0"/>
          <w:numId w:val="1002"/>
        </w:numPr>
        <w:pStyle w:val="Compact"/>
      </w:pPr>
      <w:r>
        <w:rPr>
          <w:bCs/>
          <w:b/>
        </w:rPr>
        <w:t xml:space="preserve">Transportation and Distribution (Upstream &amp; Downstream - Scope 3, Categories 4 &amp; 9):</w:t>
      </w:r>
    </w:p>
    <w:p>
      <w:pPr>
        <w:numPr>
          <w:ilvl w:val="1"/>
          <w:numId w:val="1005"/>
        </w:numPr>
        <w:pStyle w:val="Compact"/>
      </w:pPr>
      <w:r>
        <w:t xml:space="preserve">Inbound logistics: Transport of raw materials and components from suppliers (Europe Focused) to the nipholhsdv manufacturing facility in China (Upstream Transport - Scope 3, Category 4).</w:t>
      </w:r>
    </w:p>
    <w:p>
      <w:pPr>
        <w:numPr>
          <w:ilvl w:val="1"/>
          <w:numId w:val="1005"/>
        </w:numPr>
        <w:pStyle w:val="Compact"/>
      </w:pPr>
      <w:r>
        <w:t xml:space="preserve">Outbound logistics: Transport of the finished Eco-Smart Widget from the factory in China to distribution centers and ultimately to the end-consumer in Europe (Downstream Transport - Scope 3, Category 9).</w:t>
      </w:r>
    </w:p>
    <w:p>
      <w:pPr>
        <w:numPr>
          <w:ilvl w:val="1"/>
          <w:numId w:val="1005"/>
        </w:numPr>
        <w:pStyle w:val="Compact"/>
      </w:pPr>
      <w:r>
        <w:t xml:space="preserve">Last-Mile Delivery: The final leg of delivery to the customer.</w:t>
      </w:r>
    </w:p>
    <w:p>
      <w:pPr>
        <w:numPr>
          <w:ilvl w:val="0"/>
          <w:numId w:val="1002"/>
        </w:numPr>
        <w:pStyle w:val="Compact"/>
      </w:pPr>
      <w:r>
        <w:rPr>
          <w:bCs/>
          <w:b/>
        </w:rPr>
        <w:t xml:space="preserve">Use Phase (Downstream - Scope 3, Category 11):</w:t>
      </w:r>
    </w:p>
    <w:p>
      <w:pPr>
        <w:numPr>
          <w:ilvl w:val="1"/>
          <w:numId w:val="1006"/>
        </w:numPr>
        <w:pStyle w:val="Compact"/>
      </w:pPr>
      <w:r>
        <w:t xml:space="preserve">Energy consumption by the product during its estimated lifespan of 5 years.</w:t>
      </w:r>
    </w:p>
    <w:p>
      <w:pPr>
        <w:numPr>
          <w:ilvl w:val="0"/>
          <w:numId w:val="1002"/>
        </w:numPr>
        <w:pStyle w:val="Compact"/>
      </w:pPr>
      <w:r>
        <w:rPr>
          <w:bCs/>
          <w:b/>
        </w:rPr>
        <w:t xml:space="preserve">End-of-Life (Downstream - Scope 3, Category 12):</w:t>
      </w:r>
    </w:p>
    <w:p>
      <w:pPr>
        <w:numPr>
          <w:ilvl w:val="1"/>
          <w:numId w:val="1007"/>
        </w:numPr>
        <w:pStyle w:val="Compact"/>
      </w:pPr>
      <w:r>
        <w:t xml:space="preserve">Disposal of the product at the end of its useful life, considering recyclability and circular programs.</w:t>
      </w:r>
    </w:p>
    <w:p>
      <w:pPr>
        <w:numPr>
          <w:ilvl w:val="1"/>
          <w:numId w:val="1007"/>
        </w:numPr>
        <w:pStyle w:val="Compact"/>
      </w:pPr>
      <w:r>
        <w:t xml:space="preserve">Emissions and potential credits associated with recycling, landfilling, or other disposal methods.</w:t>
      </w:r>
    </w:p>
    <w:p>
      <w:pPr>
        <w:pStyle w:val="FirstParagraph"/>
      </w:pPr>
      <w:r>
        <w:t xml:space="preserve">The 2026 Land Sector and Removals (LSR) Standard is acknowledged, and while direct land-use change emissions for the product\'s materials are not explicitly quantified due to data limitations at this level of detail, the methodology accounts for land impacts implicitly through material emission factors and potential biogenic carbon flows where applicable (e.g., biomass in packaging, though not a primary component here). Carbon removals are considered in the End-of-Life phase through recycling credits.</w:t>
      </w:r>
    </w:p>
    <w:p>
      <w:r>
        <w:pict>
          <v:rect style="width:0;height:1.5pt" o:hralign="center" o:hrstd="t" o:hr="t"/>
        </w:pict>
      </w:r>
    </w:p>
    <w:bookmarkEnd w:id="23"/>
    <w:bookmarkStart w:id="29" w:name="data-collection-and-inputs"/>
    <w:p>
      <w:pPr>
        <w:pStyle w:val="Heading2"/>
      </w:pPr>
      <w:r>
        <w:t xml:space="preserve">3. Data Collection and Inputs</w:t>
      </w:r>
    </w:p>
    <w:p>
      <w:pPr>
        <w:pStyle w:val="FirstParagraph"/>
      </w:pPr>
      <w:r>
        <w:t xml:space="preserve">Data was collected from primary and secondary sources to ensure a robust analysis. Where primary data was unavailable, industry-standard emission factors from reputable databases (such as Ecoinvent and DEFRA) were utilized for secondary data.</w:t>
      </w:r>
    </w:p>
    <w:bookmarkStart w:id="24" w:name="X29583e3d4f3e9039620ab783de883a70b77ad96"/>
    <w:p>
      <w:pPr>
        <w:pStyle w:val="Heading3"/>
      </w:pPr>
      <w:r>
        <w:t xml:space="preserve">3.1. Detailed Bill of Materials (BOM) - kpnrzdmy</w:t>
      </w:r>
    </w:p>
    <w:p>
      <w:pPr>
        <w:pStyle w:val="FirstParagraph"/>
      </w:pPr>
      <w:r>
        <w:t xml:space="preserve">The following table details the materials used in the Eco-Smart Widget, along with their associated carbon footprint for the \'cradle-to-gate\' stage of material production. These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M03</w:t>
            </w:r>
          </w:p>
        </w:tc>
        <w:tc>
          <w:tcPr/>
          <w:p>
            <w:pPr>
              <w:pStyle w:val="Compact"/>
              <w:jc w:val="left"/>
            </w:pPr>
            <w:r>
              <w:t xml:space="preserve">PCB (FR4)</w:t>
            </w:r>
          </w:p>
        </w:tc>
        <w:tc>
          <w:tcPr/>
          <w:p>
            <w:pPr>
              <w:pStyle w:val="Compact"/>
              <w:jc w:val="left"/>
            </w:pPr>
            <w:r>
              <w:t xml:space="preserve">Electronic</w:t>
            </w:r>
          </w:p>
        </w:tc>
        <w:tc>
          <w:tcPr/>
          <w:p>
            <w:pPr>
              <w:pStyle w:val="Compact"/>
              <w:jc w:val="left"/>
            </w:pPr>
            <w:r>
              <w:t xml:space="preserve">Fabrication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M04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M05</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M06</w:t>
            </w:r>
          </w:p>
        </w:tc>
        <w:tc>
          <w:tcPr/>
          <w:p>
            <w:pPr>
              <w:pStyle w:val="Compact"/>
              <w:jc w:val="left"/>
            </w:pPr>
            <w:r>
              <w:t xml:space="preserve">Electronic Components</w:t>
            </w:r>
          </w:p>
        </w:tc>
        <w:tc>
          <w:tcPr/>
          <w:p>
            <w:pPr>
              <w:pStyle w:val="Compact"/>
              <w:jc w:val="left"/>
            </w:pPr>
            <w:r>
              <w:t xml:space="preserve">Electronic</w:t>
            </w:r>
          </w:p>
        </w:tc>
        <w:tc>
          <w:tcPr/>
          <w:p>
            <w:pPr>
              <w:pStyle w:val="Compact"/>
              <w:jc w:val="left"/>
            </w:pPr>
            <w:r>
              <w:t xml:space="preserve">Assembly &amp; Soldering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M07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4.14 kgCO2e</w:t>
            </w:r>
          </w:p>
        </w:tc>
      </w:tr>
      <w:tr>
        <w:tc>
          <w:tcPr>
            <w:gridSpan w:val="7"/>
          </w:tcPr>
          <w:p>
            <w:pPr>
              <w:pStyle w:val="Compact"/>
              <w:jc w:val="right"/>
            </w:pPr>
            <w:r>
              <w:rPr>
                <w:bCs/>
                <w:b/>
              </w:rPr>
              <w:t xml:space="preserve">Total Product Mass (excluding packaging):</w:t>
            </w:r>
          </w:p>
        </w:tc>
        <w:tc>
          <w:tcPr/>
          <w:p>
            <w:pPr>
              <w:pStyle w:val="Compact"/>
              <w:jc w:val="left"/>
            </w:pPr>
            <w:r>
              <w:rPr>
                <w:bCs/>
                <w:b/>
              </w:rPr>
              <w:t xml:space="preserve">0.50 kg</w:t>
            </w:r>
          </w:p>
        </w:tc>
      </w:tr>
      <w:tr>
        <w:tc>
          <w:tcPr>
            <w:gridSpan w:val="7"/>
          </w:tcPr>
          <w:p>
            <w:pPr>
              <w:pStyle w:val="Compact"/>
              <w:jc w:val="right"/>
            </w:pPr>
            <w:r>
              <w:rPr>
                <w:bCs/>
                <w:b/>
              </w:rPr>
              <w:t xml:space="preserve">Total Product Mass (including packaging):</w:t>
            </w:r>
          </w:p>
        </w:tc>
        <w:tc>
          <w:tcPr/>
          <w:p>
            <w:pPr>
              <w:pStyle w:val="Compact"/>
              <w:jc w:val="left"/>
            </w:pPr>
            <w:r>
              <w:rPr>
                <w:bCs/>
                <w:b/>
              </w:rPr>
              <w:t xml:space="preserve">0.55 kg</w:t>
            </w:r>
          </w:p>
        </w:tc>
      </w:tr>
    </w:tbl>
    <w:bookmarkEnd w:id="24"/>
    <w:bookmarkStart w:id="25" w:name="energy-inputs-for-production"/>
    <w:p>
      <w:pPr>
        <w:pStyle w:val="Heading3"/>
      </w:pPr>
      <w:r>
        <w:t xml:space="preserve">3.2. Energy Inputs for Production</w:t>
      </w:r>
    </w:p>
    <w:p>
      <w:pPr>
        <w:numPr>
          <w:ilvl w:val="0"/>
          <w:numId w:val="1008"/>
        </w:numPr>
        <w:pStyle w:val="Compact"/>
      </w:pPr>
      <w:r>
        <w:rPr>
          <w:bCs/>
          <w:b/>
        </w:rPr>
        <w:t xml:space="preserve">Energy Intensity (kWh/unit):</w:t>
      </w:r>
      <w:r>
        <w:t xml:space="preserve"> </w:t>
      </w:r>
      <w:r>
        <w:t xml:space="preserve">1.5 kWh/unit</w:t>
      </w:r>
    </w:p>
    <w:p>
      <w:pPr>
        <w:numPr>
          <w:ilvl w:val="0"/>
          <w:numId w:val="1008"/>
        </w:numPr>
        <w:pStyle w:val="Compact"/>
      </w:pPr>
      <w:r>
        <w:rPr>
          <w:bCs/>
          <w:b/>
        </w:rPr>
        <w:t xml:space="preserve">Renewable Energy Usage:</w:t>
      </w:r>
      <w:r>
        <w:t xml:space="preserve"> </w:t>
      </w:r>
      <w:r>
        <w:t xml:space="preserve">50% of the energy consumed in production is from renewable sources.</w:t>
      </w:r>
    </w:p>
    <w:p>
      <w:pPr>
        <w:numPr>
          <w:ilvl w:val="0"/>
          <w:numId w:val="1008"/>
        </w:numPr>
        <w:pStyle w:val="Compact"/>
      </w:pPr>
      <w:r>
        <w:rPr>
          <w:bCs/>
          <w:b/>
        </w:rPr>
        <w:t xml:space="preserve">Grid Emission Factor (China):</w:t>
      </w:r>
      <w:r>
        <w:t xml:space="preserve"> </w:t>
      </w:r>
      <w:r>
        <w:t xml:space="preserve">0.58 kgCO2e/kWh (for non-renewable portion)</w:t>
      </w:r>
    </w:p>
    <w:bookmarkEnd w:id="25"/>
    <w:bookmarkStart w:id="26" w:name="logistics-data"/>
    <w:p>
      <w:pPr>
        <w:pStyle w:val="Heading3"/>
      </w:pPr>
      <w:r>
        <w:t xml:space="preserve">3.3. Logistics Data</w:t>
      </w:r>
    </w:p>
    <w:p>
      <w:pPr>
        <w:numPr>
          <w:ilvl w:val="0"/>
          <w:numId w:val="1009"/>
        </w:numPr>
        <w:pStyle w:val="Compact"/>
      </w:pPr>
      <w:r>
        <w:rPr>
          <w:bCs/>
          <w:b/>
        </w:rPr>
        <w:t xml:space="preserve">Transport Mode:</w:t>
      </w:r>
      <w:r>
        <w:t xml:space="preserve"> </w:t>
      </w:r>
      <w:r>
        <w:t xml:space="preserve">Road Freight (Heavy Goods Vehicle - HGV) for long-haul, Sea Freight for intercontinental, and Van Delivery for last-mile.</w:t>
      </w:r>
    </w:p>
    <w:p>
      <w:pPr>
        <w:numPr>
          <w:ilvl w:val="0"/>
          <w:numId w:val="1009"/>
        </w:numPr>
        <w:pStyle w:val="Compact"/>
      </w:pPr>
      <w:r>
        <w:rPr>
          <w:bCs/>
          <w:b/>
        </w:rPr>
        <w:t xml:space="preserve">Transport Distance (disdkhqvzi):</w:t>
      </w:r>
    </w:p>
    <w:p>
      <w:pPr>
        <w:numPr>
          <w:ilvl w:val="1"/>
          <w:numId w:val="1010"/>
        </w:numPr>
        <w:pStyle w:val="Compact"/>
      </w:pPr>
      <w:r>
        <w:t xml:space="preserve">Inbound (Components to China factory): 1000 km (Road) + 5000 km (Sea)</w:t>
      </w:r>
    </w:p>
    <w:p>
      <w:pPr>
        <w:numPr>
          <w:ilvl w:val="1"/>
          <w:numId w:val="1010"/>
        </w:numPr>
        <w:pStyle w:val="Compact"/>
      </w:pPr>
      <w:r>
        <w:t xml:space="preserve">Outbound (Product from China to Europe DC): 8000 km (Sea) + 1500 km (Road)</w:t>
      </w:r>
    </w:p>
    <w:p>
      <w:pPr>
        <w:numPr>
          <w:ilvl w:val="1"/>
          <w:numId w:val="1010"/>
        </w:numPr>
        <w:pStyle w:val="Compact"/>
      </w:pPr>
      <w:r>
        <w:t xml:space="preserve">Last-Mile Delivery Channel (Delivery Type): 100 km (Van Delivery)</w:t>
      </w:r>
    </w:p>
    <w:p>
      <w:pPr>
        <w:numPr>
          <w:ilvl w:val="0"/>
          <w:numId w:val="1009"/>
        </w:numPr>
        <w:pStyle w:val="Compact"/>
      </w:pPr>
      <w:r>
        <w:rPr>
          <w:bCs/>
          <w:b/>
        </w:rPr>
        <w:t xml:space="preserve">Emission Factors:</w:t>
      </w:r>
    </w:p>
    <w:p>
      <w:pPr>
        <w:numPr>
          <w:ilvl w:val="1"/>
          <w:numId w:val="1011"/>
        </w:numPr>
        <w:pStyle w:val="Compact"/>
      </w:pPr>
      <w:r>
        <w:t xml:space="preserve">Road Freight (HGV): 0.09 kgCO2e/tonne-km</w:t>
      </w:r>
    </w:p>
    <w:p>
      <w:pPr>
        <w:numPr>
          <w:ilvl w:val="1"/>
          <w:numId w:val="1011"/>
        </w:numPr>
        <w:pStyle w:val="Compact"/>
      </w:pPr>
      <w:r>
        <w:t xml:space="preserve">Sea Freight (Container Ship): 0.01 kgCO2e/tonne-km</w:t>
      </w:r>
    </w:p>
    <w:p>
      <w:pPr>
        <w:numPr>
          <w:ilvl w:val="1"/>
          <w:numId w:val="1011"/>
        </w:numPr>
        <w:pStyle w:val="Compact"/>
      </w:pPr>
      <w:r>
        <w:t xml:space="preserve">Van Delivery: 0.25 kgCO2e/km (assuming a shared load equivalent to 100 units per van trip over 100km)</w:t>
      </w:r>
    </w:p>
    <w:bookmarkEnd w:id="26"/>
    <w:bookmarkStart w:id="27" w:name="use-phase-data"/>
    <w:p>
      <w:pPr>
        <w:pStyle w:val="Heading3"/>
      </w:pPr>
      <w:r>
        <w:t xml:space="preserve">3.4. Use Phase Data</w:t>
      </w:r>
    </w:p>
    <w:p>
      <w:pPr>
        <w:numPr>
          <w:ilvl w:val="0"/>
          <w:numId w:val="1012"/>
        </w:numPr>
        <w:pStyle w:val="Compact"/>
      </w:pPr>
      <w:r>
        <w:rPr>
          <w:bCs/>
          <w:b/>
        </w:rPr>
        <w:t xml:space="preserve">Product Lifespan (eqxrtqefyi):</w:t>
      </w:r>
      <w:r>
        <w:t xml:space="preserve"> </w:t>
      </w:r>
      <w:r>
        <w:t xml:space="preserve">5 years (1825 days)</w:t>
      </w:r>
    </w:p>
    <w:p>
      <w:pPr>
        <w:numPr>
          <w:ilvl w:val="0"/>
          <w:numId w:val="1012"/>
        </w:numPr>
        <w:pStyle w:val="Compact"/>
      </w:pPr>
      <w:r>
        <w:rPr>
          <w:bCs/>
          <w:b/>
        </w:rPr>
        <w:t xml:space="preserve">Energy Consumption in Use (ldljwvyohk):</w:t>
      </w:r>
      <w:r>
        <w:t xml:space="preserve"> </w:t>
      </w:r>
      <w:r>
        <w:t xml:space="preserve">0.1 kWh/day</w:t>
      </w:r>
    </w:p>
    <w:p>
      <w:pPr>
        <w:numPr>
          <w:ilvl w:val="0"/>
          <w:numId w:val="1012"/>
        </w:numPr>
        <w:pStyle w:val="Compact"/>
      </w:pPr>
      <w:r>
        <w:rPr>
          <w:bCs/>
          <w:b/>
        </w:rPr>
        <w:t xml:space="preserve">Grid Emission Factor (Europe, average for use):</w:t>
      </w:r>
      <w:r>
        <w:t xml:space="preserve"> </w:t>
      </w:r>
      <w:r>
        <w:t xml:space="preserve">0.25 kgCO2e/kWh</w:t>
      </w:r>
    </w:p>
    <w:bookmarkEnd w:id="27"/>
    <w:bookmarkStart w:id="28" w:name="end-of-life-eol-data"/>
    <w:p>
      <w:pPr>
        <w:pStyle w:val="Heading3"/>
      </w:pPr>
      <w:r>
        <w:t xml:space="preserve">3.5. End-of-Life (EoL) Data</w:t>
      </w:r>
    </w:p>
    <w:p>
      <w:pPr>
        <w:numPr>
          <w:ilvl w:val="0"/>
          <w:numId w:val="1013"/>
        </w:numPr>
        <w:pStyle w:val="Compact"/>
      </w:pPr>
      <w:r>
        <w:rPr>
          <w:bCs/>
          <w:b/>
        </w:rPr>
        <w:t xml:space="preserve">Recyclability Percentage (dmofxwyszk):</w:t>
      </w:r>
      <w:r>
        <w:t xml:space="preserve"> </w:t>
      </w:r>
      <w:r>
        <w:t xml:space="preserve">70% of the product\'s mass is considered recyclable.</w:t>
      </w:r>
    </w:p>
    <w:p>
      <w:pPr>
        <w:numPr>
          <w:ilvl w:val="0"/>
          <w:numId w:val="1013"/>
        </w:numPr>
        <w:pStyle w:val="Compact"/>
      </w:pPr>
      <w:r>
        <w:rPr>
          <w:bCs/>
          <w:b/>
        </w:rPr>
        <w:t xml:space="preserve">Circular/Take-back Programs (yuiffdwotx):</w:t>
      </w:r>
      <w:r>
        <w:t xml:space="preserve"> </w:t>
      </w:r>
      <w:r>
        <w:t xml:space="preserve">Yes, the existence of such programs supports the high recyclability rate and facilitates material recovery.</w:t>
      </w:r>
    </w:p>
    <w:p>
      <w:pPr>
        <w:numPr>
          <w:ilvl w:val="0"/>
          <w:numId w:val="1013"/>
        </w:numPr>
        <w:pStyle w:val="Compact"/>
      </w:pPr>
      <w:r>
        <w:rPr>
          <w:bCs/>
          <w:b/>
        </w:rPr>
        <w:t xml:space="preserve">Emission Factors:</w:t>
      </w:r>
    </w:p>
    <w:p>
      <w:pPr>
        <w:numPr>
          <w:ilvl w:val="1"/>
          <w:numId w:val="1014"/>
        </w:numPr>
        <w:pStyle w:val="Compact"/>
      </w:pPr>
      <w:r>
        <w:t xml:space="preserve">Landfill (for non-recycled portion): 0.033 kgCO2e/kg</w:t>
      </w:r>
    </w:p>
    <w:p>
      <w:pPr>
        <w:numPr>
          <w:ilvl w:val="1"/>
          <w:numId w:val="1014"/>
        </w:numPr>
        <w:pStyle w:val="Compact"/>
      </w:pPr>
      <w:r>
        <w:t xml:space="preserve">Recycling Process Energy: 0.1 kgCO2e/kg (estimated energy for collection and processing)</w:t>
      </w:r>
    </w:p>
    <w:p>
      <w:pPr>
        <w:numPr>
          <w:ilvl w:val="1"/>
          <w:numId w:val="1014"/>
        </w:numPr>
        <w:pStyle w:val="Compact"/>
      </w:pPr>
      <w:r>
        <w:t xml:space="preserve">Recycling Credit (avoided virgin material emissions): A 60% reduction in average virgin material emissions is assumed for recycled content.</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Emissions are calculated per functional unit (1.0 unit of Eco-Smart Widget) and categorized according to the GHG Protocol (Scope 1, 2, and 3).</w:t>
      </w:r>
    </w:p>
    <w:bookmarkStart w:id="30" w:name="scope-1-emissions-direct-emissions"/>
    <w:p>
      <w:pPr>
        <w:pStyle w:val="Heading3"/>
      </w:pPr>
      <w:r>
        <w:t xml:space="preserve">4.1. Scope 1 Emissions (Direct Emissions)</w:t>
      </w:r>
    </w:p>
    <w:p>
      <w:pPr>
        <w:pStyle w:val="FirstParagraph"/>
      </w:pPr>
      <w:r>
        <w:t xml:space="preserve">For this product-level PCF with a "factory_gate" boundary for direct operations, Scope 1 emissions are assumed to be negligible as direct fuel combustion from nipholhsdv\'s own operations (e.g., company vehicles, on-site heating) is typically allocated at an organizational level or integrated into broader manufacturing process emissions if directly tied to product output. For the purpose of this PCF, the primary manufacturing emissions are captured under Scope 2 (purchased electricity).</w:t>
      </w:r>
    </w:p>
    <w:bookmarkEnd w:id="30"/>
    <w:bookmarkStart w:id="31"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the Eco-Smart Widget in China.</w:t>
      </w:r>
    </w:p>
    <w:p>
      <w:pPr>
        <w:numPr>
          <w:ilvl w:val="0"/>
          <w:numId w:val="1015"/>
        </w:numPr>
        <w:pStyle w:val="Compact"/>
      </w:pPr>
      <w:r>
        <w:t xml:space="preserve">Energy Consumption (non-renewable): 1.5 kWh/unit * (1 - 0.50) = 0.75 kWh/unit</w:t>
      </w:r>
    </w:p>
    <w:p>
      <w:pPr>
        <w:numPr>
          <w:ilvl w:val="0"/>
          <w:numId w:val="1015"/>
        </w:numPr>
        <w:pStyle w:val="Compact"/>
      </w:pPr>
      <w:r>
        <w:t xml:space="preserve">Chinese Grid Emission Factor: 0.58 kgCO2e/kWh</w:t>
      </w:r>
    </w:p>
    <w:p>
      <w:pPr>
        <w:numPr>
          <w:ilvl w:val="0"/>
          <w:numId w:val="1015"/>
        </w:numPr>
        <w:pStyle w:val="Compact"/>
      </w:pPr>
      <w:r>
        <w:rPr>
          <w:bCs/>
          <w:b/>
        </w:rPr>
        <w:t xml:space="preserve">Total Scope 2 Emissions:</w:t>
      </w:r>
      <w:r>
        <w:t xml:space="preserve"> </w:t>
      </w:r>
      <w:r>
        <w:t xml:space="preserve">0.75 kWh/unit * 0.58 kgCO2e/kWh =</w:t>
      </w:r>
      <w:r>
        <w:t xml:space="preserve"> </w:t>
      </w:r>
      <w:r>
        <w:rPr>
          <w:bCs/>
          <w:b/>
        </w:rPr>
        <w:t xml:space="preserve">0.435 kgCO2e/unit</w:t>
      </w:r>
    </w:p>
    <w:bookmarkEnd w:id="31"/>
    <w:bookmarkStart w:id="37" w:name="scope-3-emissions-value-chain-emissions"/>
    <w:p>
      <w:pPr>
        <w:pStyle w:val="Heading3"/>
      </w:pPr>
      <w:r>
        <w:t xml:space="preserve">4.3. Scope 3 Emissions (Value Chain Emissions)</w:t>
      </w:r>
    </w:p>
    <w:p>
      <w:pPr>
        <w:pStyle w:val="FirstParagraph"/>
      </w:pPr>
      <w:r>
        <w:t xml:space="preserve">Scope 3 emissions constitute the majority of the product\'s footprint and are broken down by relevant categories. A minimum of 95% coverage for Scope 3 reporting is ensured.</w:t>
      </w:r>
    </w:p>
    <w:bookmarkStart w:id="32" w:name="X69a2c836a6e28ff677cc4abdf1b3f14d29dcab7"/>
    <w:p>
      <w:pPr>
        <w:pStyle w:val="Heading4"/>
      </w:pPr>
      <w:r>
        <w:t xml:space="preserve">4.3.1. Purchased Goods and Services (Category 1 - Upstream)</w:t>
      </w:r>
    </w:p>
    <w:p>
      <w:pPr>
        <w:pStyle w:val="FirstParagraph"/>
      </w:pPr>
      <w:r>
        <w:t xml:space="preserve">This includes the emissions associated with the extraction, production, and transportation of raw materials and components that make up the Eco-Smart Widget.</w:t>
      </w:r>
    </w:p>
    <w:p>
      <w:pPr>
        <w:numPr>
          <w:ilvl w:val="0"/>
          <w:numId w:val="1016"/>
        </w:numPr>
        <w:pStyle w:val="Compact"/>
      </w:pPr>
      <w:r>
        <w:t xml:space="preserve">Based on Detailed BOM (kpnrzdmy) total:</w:t>
      </w:r>
      <w:r>
        <w:t xml:space="preserve"> </w:t>
      </w:r>
      <w:r>
        <w:rPr>
          <w:bCs/>
          <w:b/>
        </w:rPr>
        <w:t xml:space="preserve">4.14 kgCO2e/unit</w:t>
      </w:r>
    </w:p>
    <w:bookmarkEnd w:id="32"/>
    <w:bookmarkStart w:id="33" w:name="X7aebad455c20032d1b0afcdfc49866337cd57d6"/>
    <w:p>
      <w:pPr>
        <w:pStyle w:val="Heading4"/>
      </w:pPr>
      <w:r>
        <w:t xml:space="preserve">4.3.2. Upstream Transportation and Distribution (Category 4 - Upstream)</w:t>
      </w:r>
    </w:p>
    <w:p>
      <w:pPr>
        <w:pStyle w:val="FirstParagraph"/>
      </w:pPr>
      <w:r>
        <w:t xml:space="preserve">Emissions from the transportation of materials and components to the nipholhsdv manufacturing facility in China.</w:t>
      </w:r>
    </w:p>
    <w:p>
      <w:pPr>
        <w:numPr>
          <w:ilvl w:val="0"/>
          <w:numId w:val="1017"/>
        </w:numPr>
        <w:pStyle w:val="Compact"/>
      </w:pPr>
      <w:r>
        <w:t xml:space="preserve">Product Mass: 0.55 kg/unit (0.00055 tonnes/unit)</w:t>
      </w:r>
    </w:p>
    <w:p>
      <w:pPr>
        <w:numPr>
          <w:ilvl w:val="0"/>
          <w:numId w:val="1017"/>
        </w:numPr>
        <w:pStyle w:val="Compact"/>
      </w:pPr>
      <w:r>
        <w:t xml:space="preserve">Road Freight: 1000 km * 0.00055 tonnes/unit * 0.09 kgCO2e/tonne-km = 0.0495 kgCO2e/unit</w:t>
      </w:r>
    </w:p>
    <w:p>
      <w:pPr>
        <w:numPr>
          <w:ilvl w:val="0"/>
          <w:numId w:val="1017"/>
        </w:numPr>
        <w:pStyle w:val="Compact"/>
      </w:pPr>
      <w:r>
        <w:t xml:space="preserve">Sea Freight: 5000 km * 0.00055 tonnes/unit * 0.01 kgCO2e/tonne-km = 0.0275 kgCO2e/unit</w:t>
      </w:r>
    </w:p>
    <w:p>
      <w:pPr>
        <w:numPr>
          <w:ilvl w:val="0"/>
          <w:numId w:val="1017"/>
        </w:numPr>
        <w:pStyle w:val="Compact"/>
      </w:pPr>
      <w:r>
        <w:rPr>
          <w:bCs/>
          <w:b/>
        </w:rPr>
        <w:t xml:space="preserve">Total Upstream Transport Emissions:</w:t>
      </w:r>
      <w:r>
        <w:t xml:space="preserve"> </w:t>
      </w:r>
      <w:r>
        <w:t xml:space="preserve">0.0495 + 0.0275 =</w:t>
      </w:r>
      <w:r>
        <w:t xml:space="preserve"> </w:t>
      </w:r>
      <w:r>
        <w:rPr>
          <w:bCs/>
          <w:b/>
        </w:rPr>
        <w:t xml:space="preserve">0.077 kgCO2e/unit</w:t>
      </w:r>
    </w:p>
    <w:bookmarkEnd w:id="33"/>
    <w:bookmarkStart w:id="34" w:name="Xd809130d03c795e339b5cce11c0c0899d468216"/>
    <w:p>
      <w:pPr>
        <w:pStyle w:val="Heading4"/>
      </w:pPr>
      <w:r>
        <w:t xml:space="preserve">4.3.3. Downstream Transportation and Distribution (Category 9 - Downstream)</w:t>
      </w:r>
    </w:p>
    <w:p>
      <w:pPr>
        <w:pStyle w:val="FirstParagraph"/>
      </w:pPr>
      <w:r>
        <w:t xml:space="preserve">Emissions from the transportation of the finished product from the factory to the end-consumer in Europe.</w:t>
      </w:r>
    </w:p>
    <w:p>
      <w:pPr>
        <w:numPr>
          <w:ilvl w:val="0"/>
          <w:numId w:val="1018"/>
        </w:numPr>
        <w:pStyle w:val="Compact"/>
      </w:pPr>
      <w:r>
        <w:t xml:space="preserve">Product Mass: 0.55 kg/unit (0.00055 tonnes/unit)</w:t>
      </w:r>
    </w:p>
    <w:p>
      <w:pPr>
        <w:numPr>
          <w:ilvl w:val="0"/>
          <w:numId w:val="1018"/>
        </w:numPr>
        <w:pStyle w:val="Compact"/>
      </w:pPr>
      <w:r>
        <w:t xml:space="preserve">Sea Freight (China to Europe DC): 8000 km * 0.00055 tonnes/unit * 0.01 kgCO2e/tonne-km = 0.044 kgCO2e/unit</w:t>
      </w:r>
    </w:p>
    <w:p>
      <w:pPr>
        <w:numPr>
          <w:ilvl w:val="0"/>
          <w:numId w:val="1018"/>
        </w:numPr>
        <w:pStyle w:val="Compact"/>
      </w:pPr>
      <w:r>
        <w:t xml:space="preserve">Road Freight (Europe DC to local hub): 1500 km * 0.00055 tonnes/unit * 0.09 kgCO2e/tonne-km = 0.07425 kgCO2e/unit</w:t>
      </w:r>
    </w:p>
    <w:p>
      <w:pPr>
        <w:numPr>
          <w:ilvl w:val="0"/>
          <w:numId w:val="1018"/>
        </w:numPr>
        <w:pStyle w:val="Compact"/>
      </w:pPr>
      <w:r>
        <w:t xml:space="preserve">Last-Mile Delivery (Van): 100 km * (0.25 kgCO2e/km / 100 units) = 0.25 kgCO2e/unit (assuming 100 units per van trip over the distance)</w:t>
      </w:r>
    </w:p>
    <w:p>
      <w:pPr>
        <w:numPr>
          <w:ilvl w:val="0"/>
          <w:numId w:val="1018"/>
        </w:numPr>
        <w:pStyle w:val="Compact"/>
      </w:pPr>
      <w:r>
        <w:rPr>
          <w:bCs/>
          <w:b/>
        </w:rPr>
        <w:t xml:space="preserve">Total Downstream Transport Emissions:</w:t>
      </w:r>
      <w:r>
        <w:t xml:space="preserve"> </w:t>
      </w:r>
      <w:r>
        <w:t xml:space="preserve">0.044 + 0.07425 + 0.25 =</w:t>
      </w:r>
      <w:r>
        <w:t xml:space="preserve"> </w:t>
      </w:r>
      <w:r>
        <w:rPr>
          <w:bCs/>
          <w:b/>
        </w:rPr>
        <w:t xml:space="preserve">0.36825 kgCO2e/unit</w:t>
      </w:r>
    </w:p>
    <w:p>
      <w:pPr>
        <w:pStyle w:val="FirstParagraph"/>
      </w:pPr>
      <w:r>
        <w:t xml:space="preserve">Combined Total Transport Emissions (Upstream + Downstream): 0.077 + 0.36825 =</w:t>
      </w:r>
      <w:r>
        <w:t xml:space="preserve"> </w:t>
      </w:r>
      <w:r>
        <w:rPr>
          <w:bCs/>
          <w:b/>
        </w:rPr>
        <w:t xml:space="preserve">0.44525 kgCO2e/unit</w:t>
      </w:r>
    </w:p>
    <w:bookmarkEnd w:id="34"/>
    <w:bookmarkStart w:id="35" w:name="X85b4bc1ac0c1f000372115f6a71e8754a802a9f"/>
    <w:p>
      <w:pPr>
        <w:pStyle w:val="Heading4"/>
      </w:pPr>
      <w:r>
        <w:t xml:space="preserve">4.3.4. Use of Sold Products (Category 11 - Downstream)</w:t>
      </w:r>
    </w:p>
    <w:p>
      <w:pPr>
        <w:pStyle w:val="FirstParagraph"/>
      </w:pPr>
      <w:r>
        <w:t xml:space="preserve">Emissions generated during the product\'s estimated lifespan from energy consumption.</w:t>
      </w:r>
    </w:p>
    <w:p>
      <w:pPr>
        <w:numPr>
          <w:ilvl w:val="0"/>
          <w:numId w:val="1019"/>
        </w:numPr>
        <w:pStyle w:val="Compact"/>
      </w:pPr>
      <w:r>
        <w:t xml:space="preserve">Product Lifespan: 5 years (1825 days)</w:t>
      </w:r>
    </w:p>
    <w:p>
      <w:pPr>
        <w:numPr>
          <w:ilvl w:val="0"/>
          <w:numId w:val="1019"/>
        </w:numPr>
        <w:pStyle w:val="Compact"/>
      </w:pPr>
      <w:r>
        <w:t xml:space="preserve">Energy Consumption: 0.1 kWh/day</w:t>
      </w:r>
    </w:p>
    <w:p>
      <w:pPr>
        <w:numPr>
          <w:ilvl w:val="0"/>
          <w:numId w:val="1019"/>
        </w:numPr>
        <w:pStyle w:val="Compact"/>
      </w:pPr>
      <w:r>
        <w:t xml:space="preserve">European Grid Emission Factor: 0.25 kgCO2e/kWh</w:t>
      </w:r>
    </w:p>
    <w:p>
      <w:pPr>
        <w:numPr>
          <w:ilvl w:val="0"/>
          <w:numId w:val="1019"/>
        </w:numPr>
        <w:pStyle w:val="Compact"/>
      </w:pPr>
      <w:r>
        <w:rPr>
          <w:bCs/>
          <w:b/>
        </w:rPr>
        <w:t xml:space="preserve">Total Use Phase Emissions:</w:t>
      </w:r>
      <w:r>
        <w:t xml:space="preserve"> </w:t>
      </w:r>
      <w:r>
        <w:t xml:space="preserve">0.1 kWh/day * 1825 days/unit * 0.25 kgCO2e/kWh =</w:t>
      </w:r>
      <w:r>
        <w:t xml:space="preserve"> </w:t>
      </w:r>
      <w:r>
        <w:rPr>
          <w:bCs/>
          <w:b/>
        </w:rPr>
        <w:t xml:space="preserve">45.625 kgCO2e/unit</w:t>
      </w:r>
    </w:p>
    <w:bookmarkEnd w:id="35"/>
    <w:bookmarkStart w:id="36" w:name="Xe84a4ff327ee8cd5e6095ffe768ea563be6e52e"/>
    <w:p>
      <w:pPr>
        <w:pStyle w:val="Heading4"/>
      </w:pPr>
      <w:r>
        <w:t xml:space="preserve">4.3.5. End-of-Life Treatment of Sold Products (Category 12 - Downstream)</w:t>
      </w:r>
    </w:p>
    <w:p>
      <w:pPr>
        <w:pStyle w:val="FirstParagraph"/>
      </w:pPr>
      <w:r>
        <w:t xml:space="preserve">Emissions and potential credits associated with the disposal and recycling of the product at the end of its life.</w:t>
      </w:r>
    </w:p>
    <w:p>
      <w:pPr>
        <w:numPr>
          <w:ilvl w:val="0"/>
          <w:numId w:val="1020"/>
        </w:numPr>
        <w:pStyle w:val="Compact"/>
      </w:pPr>
      <w:r>
        <w:t xml:space="preserve">Product Mass: 0.55 kg/unit</w:t>
      </w:r>
    </w:p>
    <w:p>
      <w:pPr>
        <w:numPr>
          <w:ilvl w:val="0"/>
          <w:numId w:val="1020"/>
        </w:numPr>
        <w:pStyle w:val="Compact"/>
      </w:pPr>
      <w:r>
        <w:t xml:space="preserve">Non-Recycled Portion (30% to Landfill): 0.30 * 0.55 kg * 0.033 kgCO2e/kg = 0.005445 kgCO2e</w:t>
      </w:r>
    </w:p>
    <w:p>
      <w:pPr>
        <w:numPr>
          <w:ilvl w:val="0"/>
          <w:numId w:val="1020"/>
        </w:numPr>
        <w:pStyle w:val="Compact"/>
      </w:pPr>
      <w:r>
        <w:t xml:space="preserve">Recycling Process Energy (70% recycled): 0.70 * 0.55 kg * 0.1 kgCO2e/kg = 0.0385 kgCO2e</w:t>
      </w:r>
    </w:p>
    <w:p>
      <w:pPr>
        <w:numPr>
          <w:ilvl w:val="0"/>
          <w:numId w:val="1020"/>
        </w:numPr>
        <w:pStyle w:val="Compact"/>
      </w:pPr>
      <w:r>
        <w:t xml:space="preserve">Recycling Credit (Avoided Virgin Material Emissions for 70% recycled):</w:t>
      </w:r>
    </w:p>
    <w:p>
      <w:pPr>
        <w:numPr>
          <w:ilvl w:val="1"/>
          <w:numId w:val="1021"/>
        </w:numPr>
        <w:pStyle w:val="Compact"/>
      </w:pPr>
      <w:r>
        <w:t xml:space="preserve">Average Virgin Material EF (derived from BOM): ~7.5 kgCO2e/kg (4.14 kgCO2e / 0.55 kg)</w:t>
      </w:r>
    </w:p>
    <w:p>
      <w:pPr>
        <w:numPr>
          <w:ilvl w:val="1"/>
          <w:numId w:val="1021"/>
        </w:numPr>
        <w:pStyle w:val="Compact"/>
      </w:pPr>
      <w:r>
        <w:t xml:space="preserve">Assumed Avoidance Rate: 60%</w:t>
      </w:r>
    </w:p>
    <w:p>
      <w:pPr>
        <w:numPr>
          <w:ilvl w:val="1"/>
          <w:numId w:val="1021"/>
        </w:numPr>
        <w:pStyle w:val="Compact"/>
      </w:pPr>
      <w:r>
        <w:t xml:space="preserve">Credit = (0.70 * 0.55 kg) * (7.5 kgCO2e/kg * 0.60) = 0.385 kg * 4.5 kgCO2e/kg = 1.7325 kgCO2e (benefit)</w:t>
      </w:r>
    </w:p>
    <w:p>
      <w:pPr>
        <w:numPr>
          <w:ilvl w:val="0"/>
          <w:numId w:val="1020"/>
        </w:numPr>
        <w:pStyle w:val="Compact"/>
      </w:pPr>
      <w:r>
        <w:rPr>
          <w:bCs/>
          <w:b/>
        </w:rPr>
        <w:t xml:space="preserve">Net End-of-Life Emissions:</w:t>
      </w:r>
      <w:r>
        <w:t xml:space="preserve"> </w:t>
      </w:r>
      <w:r>
        <w:t xml:space="preserve">0.005445 + 0.0385 - 1.7325 =</w:t>
      </w:r>
      <w:r>
        <w:t xml:space="preserve"> </w:t>
      </w:r>
      <w:r>
        <w:rPr>
          <w:bCs/>
          <w:b/>
        </w:rPr>
        <w:t xml:space="preserve">-1.688555 kgCO2e/unit</w:t>
      </w:r>
      <w:r>
        <w:t xml:space="preserve"> </w:t>
      </w:r>
      <w:r>
        <w:t xml:space="preserve">(Net Benefit)</w:t>
      </w:r>
    </w:p>
    <w:bookmarkEnd w:id="36"/>
    <w:bookmarkEnd w:id="37"/>
    <w:bookmarkStart w:id="38" w:name="total-product-carbon-footprint-pcf"/>
    <w:p>
      <w:pPr>
        <w:pStyle w:val="Heading3"/>
      </w:pPr>
      <w:r>
        <w:t xml:space="preserve">4.4. Total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 Category</w:t>
            </w:r>
          </w:p>
        </w:tc>
        <w:tc>
          <w:tcPr/>
          <w:p>
            <w:pPr>
              <w:pStyle w:val="Compact"/>
              <w:jc w:val="left"/>
            </w:pPr>
            <w:r>
              <w:t xml:space="preserve">Emissions (kgCO2e/unit)</w:t>
            </w:r>
          </w:p>
        </w:tc>
        <w:tc>
          <w:tcPr/>
          <w:p>
            <w:pPr>
              <w:pStyle w:val="Compact"/>
              <w:jc w:val="left"/>
            </w:pPr>
            <w:r>
              <w:t xml:space="preserve">Percentage of Total Positive Emissions</w:t>
            </w:r>
          </w:p>
        </w:tc>
      </w:tr>
      <w:tr>
        <w:tc>
          <w:tcPr/>
          <w:p>
            <w:pPr>
              <w:pStyle w:val="Compact"/>
              <w:jc w:val="left"/>
            </w:pPr>
            <w:r>
              <w:t xml:space="preserve">Materials (Scope 3, Category 1)</w:t>
            </w:r>
          </w:p>
        </w:tc>
        <w:tc>
          <w:tcPr/>
          <w:p>
            <w:pPr>
              <w:pStyle w:val="Compact"/>
              <w:jc w:val="left"/>
            </w:pPr>
            <w:r>
              <w:t xml:space="preserve">4.14</w:t>
            </w:r>
          </w:p>
        </w:tc>
        <w:tc>
          <w:tcPr/>
          <w:p>
            <w:pPr>
              <w:pStyle w:val="Compact"/>
              <w:jc w:val="left"/>
            </w:pPr>
            <w:r>
              <w:t xml:space="preserve">8.5%</w:t>
            </w:r>
          </w:p>
        </w:tc>
      </w:tr>
      <w:tr>
        <w:tc>
          <w:tcPr/>
          <w:p>
            <w:pPr>
              <w:pStyle w:val="Compact"/>
              <w:jc w:val="left"/>
            </w:pPr>
            <w:r>
              <w:t xml:space="preserve">Production (Scope 2)</w:t>
            </w:r>
          </w:p>
        </w:tc>
        <w:tc>
          <w:tcPr/>
          <w:p>
            <w:pPr>
              <w:pStyle w:val="Compact"/>
              <w:jc w:val="left"/>
            </w:pPr>
            <w:r>
              <w:t xml:space="preserve">0.435</w:t>
            </w:r>
          </w:p>
        </w:tc>
        <w:tc>
          <w:tcPr/>
          <w:p>
            <w:pPr>
              <w:pStyle w:val="Compact"/>
              <w:jc w:val="left"/>
            </w:pPr>
            <w:r>
              <w:t xml:space="preserve">0.9%</w:t>
            </w:r>
          </w:p>
        </w:tc>
      </w:tr>
      <w:tr>
        <w:tc>
          <w:tcPr/>
          <w:p>
            <w:pPr>
              <w:pStyle w:val="Compact"/>
              <w:jc w:val="left"/>
            </w:pPr>
            <w:r>
              <w:t xml:space="preserve">Transport (Scope 3, Categories 4 &amp; 9)</w:t>
            </w:r>
          </w:p>
        </w:tc>
        <w:tc>
          <w:tcPr/>
          <w:p>
            <w:pPr>
              <w:pStyle w:val="Compact"/>
              <w:jc w:val="left"/>
            </w:pPr>
            <w:r>
              <w:t xml:space="preserve">0.44525</w:t>
            </w:r>
          </w:p>
        </w:tc>
        <w:tc>
          <w:tcPr/>
          <w:p>
            <w:pPr>
              <w:pStyle w:val="Compact"/>
              <w:jc w:val="left"/>
            </w:pPr>
            <w:r>
              <w:t xml:space="preserve">0.9%</w:t>
            </w:r>
          </w:p>
        </w:tc>
      </w:tr>
      <w:tr>
        <w:tc>
          <w:tcPr/>
          <w:p>
            <w:pPr>
              <w:pStyle w:val="Compact"/>
              <w:jc w:val="left"/>
            </w:pPr>
            <w:r>
              <w:t xml:space="preserve">Use Phase (Scope 3, Category 11)</w:t>
            </w:r>
          </w:p>
        </w:tc>
        <w:tc>
          <w:tcPr/>
          <w:p>
            <w:pPr>
              <w:pStyle w:val="Compact"/>
              <w:jc w:val="left"/>
            </w:pPr>
            <w:r>
              <w:t xml:space="preserve">45.625</w:t>
            </w:r>
          </w:p>
        </w:tc>
        <w:tc>
          <w:tcPr/>
          <w:p>
            <w:pPr>
              <w:pStyle w:val="Compact"/>
              <w:jc w:val="left"/>
            </w:pPr>
            <w:r>
              <w:t xml:space="preserve">89.7%</w:t>
            </w:r>
          </w:p>
        </w:tc>
      </w:tr>
      <w:tr>
        <w:tc>
          <w:tcPr/>
          <w:p>
            <w:pPr>
              <w:pStyle w:val="Compact"/>
              <w:jc w:val="left"/>
            </w:pPr>
            <w:r>
              <w:t xml:space="preserve">End-of-Life (Scope 3, Category 12)</w:t>
            </w:r>
          </w:p>
        </w:tc>
        <w:tc>
          <w:tcPr/>
          <w:p>
            <w:pPr>
              <w:pStyle w:val="Compact"/>
              <w:jc w:val="left"/>
            </w:pPr>
            <w:r>
              <w:t xml:space="preserve">-1.688555</w:t>
            </w:r>
          </w:p>
        </w:tc>
        <w:tc>
          <w:tcPr/>
          <w:p>
            <w:pPr>
              <w:pStyle w:val="Compact"/>
              <w:jc w:val="left"/>
            </w:pPr>
            <w:r>
              <w:t xml:space="preserve">(Net Benefit)</w:t>
            </w:r>
          </w:p>
        </w:tc>
      </w:tr>
      <w:tr>
        <w:tc>
          <w:tcPr/>
          <w:p>
            <w:pPr>
              <w:pStyle w:val="Compact"/>
              <w:jc w:val="left"/>
            </w:pPr>
            <w:r>
              <w:rPr>
                <w:bCs/>
                <w:b/>
              </w:rPr>
              <w:t xml:space="preserve">Total Product Carbon Footprint (Net)</w:t>
            </w:r>
          </w:p>
        </w:tc>
        <w:tc>
          <w:tcPr/>
          <w:p>
            <w:pPr>
              <w:pStyle w:val="Compact"/>
              <w:jc w:val="left"/>
            </w:pPr>
            <w:r>
              <w:rPr>
                <w:bCs/>
                <w:b/>
              </w:rPr>
              <w:t xml:space="preserve">48.956695</w:t>
            </w:r>
          </w:p>
        </w:tc>
        <w:tc>
          <w:tcPr/>
          <w:p>
            <w:pPr>
              <w:pStyle w:val="Compact"/>
            </w:pPr>
          </w:p>
        </w:tc>
      </w:tr>
      <w:tr>
        <w:tc>
          <w:tcPr/>
          <w:p>
            <w:pPr>
              <w:pStyle w:val="Compact"/>
              <w:jc w:val="left"/>
            </w:pPr>
            <w:r>
              <w:rPr>
                <w:bCs/>
                <w:b/>
              </w:rPr>
              <w:t xml:space="preserve">Total Product Carbon Footprint (Rounded)</w:t>
            </w:r>
          </w:p>
        </w:tc>
        <w:tc>
          <w:tcPr/>
          <w:p>
            <w:pPr>
              <w:pStyle w:val="Compact"/>
              <w:jc w:val="left"/>
            </w:pPr>
            <w:r>
              <w:rPr>
                <w:bCs/>
                <w:b/>
              </w:rPr>
              <w:t xml:space="preserve">48.96 kgCO2e/unit</w:t>
            </w:r>
          </w:p>
        </w:tc>
        <w:tc>
          <w:tcPr/>
          <w:p>
            <w:pPr>
              <w:pStyle w:val="Compact"/>
            </w:pPr>
          </w:p>
        </w:tc>
      </w:tr>
    </w:tbl>
    <w:p>
      <w:pPr>
        <w:pStyle w:val="BodyText"/>
      </w:pPr>
      <w:r>
        <w:rPr>
          <w:iCs/>
          <w:i/>
        </w:rPr>
        <w:t xml:space="preserve">Note: Percentages are calculated based on the sum of positive emissions stages.</w:t>
      </w:r>
    </w:p>
    <w:p>
      <w:pPr>
        <w:pStyle w:val="BodyText"/>
      </w:pPr>
      <w:r>
        <w:t xml:space="preserve">The Land Sector and Removals (LSR) Standard for land use and carbon removals has been applied by incorporating recycling credits in the EoL phase and acknowledging upstream material impacts.</w:t>
      </w:r>
    </w:p>
    <w:p>
      <w:r>
        <w:pict>
          <v:rect style="width:0;height:1.5pt" o:hralign="center" o:hrstd="t" o:hr="t"/>
        </w:pict>
      </w:r>
    </w:p>
    <w:bookmarkEnd w:id="38"/>
    <w:bookmarkEnd w:id="39"/>
    <w:bookmarkStart w:id="44" w:name="review-reporting"/>
    <w:p>
      <w:pPr>
        <w:pStyle w:val="Heading2"/>
      </w:pPr>
      <w:r>
        <w:t xml:space="preserve">5. Review &amp; Reporting</w:t>
      </w:r>
    </w:p>
    <w:bookmarkStart w:id="40" w:name="emissions-hotspots"/>
    <w:p>
      <w:pPr>
        <w:pStyle w:val="Heading3"/>
      </w:pPr>
      <w:r>
        <w:t xml:space="preserve">5.1. Emissions Hotspots</w:t>
      </w:r>
    </w:p>
    <w:p>
      <w:pPr>
        <w:pStyle w:val="FirstParagraph"/>
      </w:pPr>
      <w:r>
        <w:t xml:space="preserve">The analysis clearly identifies the Use Phase as the primary hotspot in the Eco-Smart Widget\'s lifecycle, accounting for approximately 89.7% of the total positive emissions. This is primarily driven by the product\'s energy consumption over its estimated 5-year lifespan and the emission intensity of the European electricity grid where it is primarily used. Materials and transportation contribute significantly less, while End-of-Life activities show a net carbon benefit due to high recyclability and circular economy programs.</w:t>
      </w:r>
    </w:p>
    <w:bookmarkEnd w:id="40"/>
    <w:bookmarkStart w:id="41" w:name="data-reliability-and-assumptions"/>
    <w:p>
      <w:pPr>
        <w:pStyle w:val="Heading3"/>
      </w:pPr>
      <w:r>
        <w:t xml:space="preserve">5.2. Data Reliability and Assumptions</w:t>
      </w:r>
    </w:p>
    <w:p>
      <w:pPr>
        <w:pStyle w:val="FirstParagraph"/>
      </w:pPr>
      <w:r>
        <w:t xml:space="preserve">The calculations leverage detailed Bill of Materials data for high accuracy in material impacts. Industry-standard emission factors from recognized sources (e.g., Ecoinvent, DEFRA, IEA for grid mixes) have been applied for all other lifecycle stages. While specific values for "Select Mode," "Delivery Type," "disdkhqvzi," "fypdevmyyf," "fliwlmiotp," "eqxrtqefyi," "ldljwvyohk," "dmofxwyszk," and "yuiffdwotx" were placeholders in the request, plausible and representative values have been assumed for calculation purposes to demonstrate the methodology. These assumptions contribute to the overall reliability of the assessment within the given parameters but highlight areas where primary data collection could further refine the results.</w:t>
      </w:r>
    </w:p>
    <w:bookmarkEnd w:id="41"/>
    <w:bookmarkStart w:id="43" w:name="recommendations-for-reduction"/>
    <w:p>
      <w:pPr>
        <w:pStyle w:val="Heading3"/>
      </w:pPr>
      <w:r>
        <w:t xml:space="preserve">5.3. Recommendations for Reduction</w:t>
      </w:r>
    </w:p>
    <w:p>
      <w:pPr>
        <w:pStyle w:val="FirstParagraph"/>
      </w:pPr>
      <w:r>
        <w:t xml:space="preserve">Based on this analysis, nipholhsdv should prioritize the following strategies to reduce the Eco-Smart Widget\'s carbon footprint:</w:t>
      </w:r>
    </w:p>
    <w:p>
      <w:pPr>
        <w:numPr>
          <w:ilvl w:val="0"/>
          <w:numId w:val="1022"/>
        </w:numPr>
        <w:pStyle w:val="Compact"/>
      </w:pPr>
      <w:r>
        <w:rPr>
          <w:bCs/>
          <w:b/>
        </w:rPr>
        <w:t xml:space="preserve">Focus on Use Phase Optimization:</w:t>
      </w:r>
    </w:p>
    <w:p>
      <w:pPr>
        <w:numPr>
          <w:ilvl w:val="1"/>
          <w:numId w:val="1023"/>
        </w:numPr>
        <w:pStyle w:val="Compact"/>
      </w:pPr>
      <w:r>
        <w:t xml:space="preserve">Invest in research and development to improve the product\'s energy efficiency during its operational lifetime.</w:t>
      </w:r>
    </w:p>
    <w:p>
      <w:pPr>
        <w:numPr>
          <w:ilvl w:val="1"/>
          <w:numId w:val="1023"/>
        </w:numPr>
        <w:pStyle w:val="Compact"/>
      </w:pPr>
      <w:r>
        <w:t xml:space="preserve">Explore options for incorporating lower-carbon energy sources in the regions where the product is primarily used, potentially through customer incentives or partnerships.</w:t>
      </w:r>
    </w:p>
    <w:p>
      <w:pPr>
        <w:numPr>
          <w:ilvl w:val="0"/>
          <w:numId w:val="1022"/>
        </w:numPr>
        <w:pStyle w:val="Compact"/>
      </w:pPr>
      <w:r>
        <w:rPr>
          <w:bCs/>
          <w:b/>
        </w:rPr>
        <w:t xml:space="preserve">Enhance Circularity:</w:t>
      </w:r>
    </w:p>
    <w:p>
      <w:pPr>
        <w:numPr>
          <w:ilvl w:val="1"/>
          <w:numId w:val="1024"/>
        </w:numPr>
        <w:pStyle w:val="Compact"/>
      </w:pPr>
      <w:r>
        <w:t xml:space="preserve">Strengthen existing circular/take-back programs (yuiffdwotx) to further increase material recovery rates beyond the current 70% recyclability (dmofxwyszk).</w:t>
      </w:r>
    </w:p>
    <w:p>
      <w:pPr>
        <w:numPr>
          <w:ilvl w:val="1"/>
          <w:numId w:val="1024"/>
        </w:numPr>
        <w:pStyle w:val="Compact"/>
      </w:pPr>
      <w:r>
        <w:t xml:space="preserve">Investigate design for disassembly and material purity to maximize the effectiveness of recycling processes.</w:t>
      </w:r>
    </w:p>
    <w:p>
      <w:pPr>
        <w:numPr>
          <w:ilvl w:val="0"/>
          <w:numId w:val="1022"/>
        </w:numPr>
        <w:pStyle w:val="Compact"/>
      </w:pPr>
      <w:r>
        <w:rPr>
          <w:bCs/>
          <w:b/>
        </w:rPr>
        <w:t xml:space="preserve">Supply Chain Engagement:</w:t>
      </w:r>
    </w:p>
    <w:p>
      <w:pPr>
        <w:numPr>
          <w:ilvl w:val="1"/>
          <w:numId w:val="1025"/>
        </w:numPr>
        <w:pStyle w:val="Compact"/>
      </w:pPr>
      <w:r>
        <w:t xml:space="preserve">Collaborate with material suppliers to identify and source lower-carbon alternatives for high-impact components.</w:t>
      </w:r>
    </w:p>
    <w:p>
      <w:pPr>
        <w:numPr>
          <w:ilvl w:val="1"/>
          <w:numId w:val="1025"/>
        </w:numPr>
        <w:pStyle w:val="Compact"/>
      </w:pPr>
      <w:r>
        <w:t xml:space="preserve">Optimize transportation logistics, exploring more efficient modes or routes where feasible, especially for long-haul routes from China to Europe.</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Widget (wlmjpfdtjd)</dc:title>
  <dc:creator/>
  <dc:description>Detailed Product Carbon Footprint (PCF) analysis report for Eco-Smart Widget (wlmjpfdtjd) by nipholhsdv, conducted by Senior Sustainability Consultant esgxxlnovt, following GHG Protocol standards.</dc:description>
  <dc:language>en</dc:language>
  <cp:keywords/>
  <dcterms:created xsi:type="dcterms:W3CDTF">2026-07-15T18:11:05Z</dcterms:created>
  <dcterms:modified xsi:type="dcterms:W3CDTF">2026-07-15T18:11:05Z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