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Home</w:t>
      </w:r>
      <w:r>
        <w:t xml:space="preserve"> </w:t>
      </w:r>
      <w:r>
        <w:t xml:space="preserve">Hub</w:t>
      </w:r>
      <w:r>
        <w:t xml:space="preserve"> </w:t>
      </w:r>
      <w:r>
        <w:t xml:space="preserve">(nywkzqzkor)</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eco-smart-home-hub-nywkzqzkor"/>
    <w:p>
      <w:pPr>
        <w:pStyle w:val="Heading2"/>
      </w:pPr>
      <w:r>
        <w:t xml:space="preserve">Product: Eco-Smart Home Hub (nywkzqzkor)</w:t>
      </w:r>
    </w:p>
    <w:p>
      <w:pPr>
        <w:pStyle w:val="FirstParagraph"/>
      </w:pPr>
      <w:r>
        <w:rPr>
          <w:bCs/>
          <w:b/>
        </w:rPr>
        <w:t xml:space="preserve">Company Name:</w:t>
      </w:r>
      <w:r>
        <w:t xml:space="preserve"> </w:t>
      </w:r>
      <w:r>
        <w:t xml:space="preserve">kqhjjqwkmd (GreenTech Innovations)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hguururdzs</w:t>
      </w:r>
    </w:p>
    <w:p>
      <w:pPr>
        <w:pStyle w:val="BodyText"/>
      </w:pPr>
      <w:r>
        <w:t xml:space="preserve">Disclaimer: This report is generated based on available data and industry standards, incorporating specific parameters provided.</w:t>
      </w:r>
      <w:r>
        <w:t xml:space="preserve"> </w:t>
      </w:r>
      <w:r>
        <w:t xml:space="preserve">All emission factors used are indicative and derived from publicly available industry sources (e.g., Ecoinvent, DEFRA) or directly provided in the Bill of Materials.</w:t>
      </w:r>
      <w:r>
        <w:t xml:space="preserve"> </w:t>
      </w:r>
      <w:r>
        <w:t xml:space="preserve">Calculations are based on the best available information at the time of report generation.</w:t>
      </w:r>
    </w:p>
    <w:p>
      <w:pPr>
        <w:pStyle w:val="BodyText"/>
      </w:pPr>
      <w:r>
        <w:t xml:space="preserve">Generated Date:</w:t>
      </w:r>
    </w:p>
    <w:bookmarkEnd w:id="20"/>
    <w:bookmarkEnd w:id="21"/>
    <w:bookmarkStart w:id="52" w:name="product-carbon-footprint-report"/>
    <w:p>
      <w:pPr>
        <w:pStyle w:val="Heading1"/>
      </w:pPr>
      <w:r>
        <w:t xml:space="preserve">Product Carbon Footprint Report</w:t>
      </w:r>
    </w:p>
    <w:p>
      <w:pPr>
        <w:pStyle w:val="FirstParagraph"/>
      </w:pPr>
      <w:r>
        <w:rPr>
          <w:bCs/>
          <w:b/>
        </w:rPr>
        <w:t xml:space="preserve">Generated Date:</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Eco-Smart Home Hub (nywkzqzkor) manufactured by kqhjjqwkmd (GreenTech Innovations). The analysis was conducted by hguururdzs, a Senior Sustainability Consultant specializing in the GHG Protocol, to quantify the greenhouse gas (GHG) emissions associated with the product\'s entire lifecycle, from raw material extraction to end-of-life.</w:t>
      </w:r>
    </w:p>
    <w:p>
      <w:pPr>
        <w:pStyle w:val="BodyText"/>
      </w:pPr>
      <w:r>
        <w:t xml:space="preserve">The methodology adheres strictly to the GHG Protocol Product Standard, categorizing emissions into Scope 1 (direct emissions), Scope 2 (indirect emissions from purchased energy), and Scope 3 (all other indirect value chain emissions). Key parameters, including a detailed Bill of Materials (BOM), transportation logistics, manufacturing energy usage, product lifespan, energy consumption during use, and end-of-life scenarios, have been incorporated for a comprehensive assessment.</w:t>
      </w:r>
    </w:p>
    <w:p>
      <w:pPr>
        <w:pStyle w:val="BodyText"/>
      </w:pPr>
      <w:r>
        <w:t xml:space="preserve">The total estimated Product Carbon Footprint for one functional unit of the Eco-Smart Home Hub is calculated to be **64.60 kgCO2e**. The largest contributors are identified within the Use Phase and Last-Mile Delivery, highlighting critical areas for emission reduction strategies.</w:t>
      </w:r>
    </w:p>
    <w:p>
      <w:r>
        <w:pict>
          <v:rect style="width:0;height:1.5pt" o:hralign="center" o:hrstd="t" o:hr="t"/>
        </w:pict>
      </w:r>
    </w:p>
    <w:bookmarkEnd w:id="22"/>
    <w:bookmarkStart w:id="29" w:name="methodology-and-scope-definition"/>
    <w:p>
      <w:pPr>
        <w:pStyle w:val="Heading2"/>
      </w:pPr>
      <w:r>
        <w:t xml:space="preserve">2. Methodology and Scope Definition</w:t>
      </w:r>
    </w:p>
    <w:p>
      <w:pPr>
        <w:pStyle w:val="FirstParagraph"/>
      </w:pPr>
      <w:r>
        <w:t xml:space="preserve">This Product Carbon Footprint (PCF) analysis is performed in accordance with the principles and requirements of the GHG Protocol Product Life Cycle Accounting and Reporting Standard. The five-step methodology outlined below guides the assessment:</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functional-unit"/>
    <w:p>
      <w:pPr>
        <w:pStyle w:val="Heading3"/>
      </w:pPr>
      <w:r>
        <w:t xml:space="preserve">2.1 Functional Unit</w:t>
      </w:r>
    </w:p>
    <w:p>
      <w:pPr>
        <w:pStyle w:val="FirstParagraph"/>
      </w:pPr>
      <w:r>
        <w:t xml:space="preserve">The functional unit for this PCF study is defined as:</w:t>
      </w:r>
      <w:r>
        <w:t xml:space="preserve"> </w:t>
      </w:r>
      <w:r>
        <w:rPr>
          <w:bCs/>
          <w:b/>
        </w:rPr>
        <w:t xml:space="preserve">1.0 unit of nywkzqzkor (Eco-Smart Home Hub)</w:t>
      </w:r>
      <w:r>
        <w:t xml:space="preserve">.</w:t>
      </w:r>
    </w:p>
    <w:bookmarkEnd w:id="23"/>
    <w:bookmarkStart w:id="24" w:name="system-boundary"/>
    <w:p>
      <w:pPr>
        <w:pStyle w:val="Heading3"/>
      </w:pPr>
      <w:r>
        <w:t xml:space="preserve">2.2 System Boundary</w:t>
      </w:r>
    </w:p>
    <w:p>
      <w:pPr>
        <w:pStyle w:val="FirstParagraph"/>
      </w:pPr>
      <w:r>
        <w:t xml:space="preserve">The system boundary adopted for this analysis is</w:t>
      </w:r>
      <w:r>
        <w:t xml:space="preserve"> </w:t>
      </w:r>
      <w:r>
        <w:rPr>
          <w:bCs/>
          <w:b/>
        </w:rPr>
        <w:t xml:space="preserve">"cradle-to-gate plus downstream"</w:t>
      </w:r>
      <w:r>
        <w:t xml:space="preserve">, meaning it covers all stages from raw material acquisition ("cradle") through manufacturing ("gate"), and extends to the consumer use phase and end-of-life treatment. This comprehensive approach ensures a holistic view of the product\'s environmental impact. Specifically, for production, the boundary is "factory_gate".</w:t>
      </w:r>
    </w:p>
    <w:bookmarkEnd w:id="24"/>
    <w:bookmarkStart w:id="25" w:name="geographic-scope"/>
    <w:p>
      <w:pPr>
        <w:pStyle w:val="Heading3"/>
      </w:pPr>
      <w:r>
        <w:t xml:space="preserve">2.3 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while final assembly and some manufacturing occur in China, a significant portion of upstream material sourcing and subsequent distribution occurs within or involves Europe.</w:t>
      </w:r>
    </w:p>
    <w:bookmarkEnd w:id="25"/>
    <w:bookmarkStart w:id="28" w:name="X9a3382bb4a575ea74e0cdd69461c42a1629c064"/>
    <w:p>
      <w:pPr>
        <w:pStyle w:val="Heading3"/>
      </w:pPr>
      <w:r>
        <w:t xml:space="preserve">2.4 Accounting Standard and GHG Protocol Adherence</w:t>
      </w:r>
    </w:p>
    <w:p>
      <w:pPr>
        <w:pStyle w:val="FirstParagraph"/>
      </w:pPr>
      <w:r>
        <w:t xml:space="preserve">This report strictly adheres to the</w:t>
      </w:r>
      <w:r>
        <w:t xml:space="preserve"> </w:t>
      </w:r>
      <w:r>
        <w:rPr>
          <w:bCs/>
          <w:b/>
        </w:rPr>
        <w:t xml:space="preserve">GHG Protocol</w:t>
      </w:r>
      <w:r>
        <w:t xml:space="preserve">. Emissions are categorized into three scopes:</w:t>
      </w:r>
    </w:p>
    <w:p>
      <w:pPr>
        <w:numPr>
          <w:ilvl w:val="0"/>
          <w:numId w:val="1002"/>
        </w:numPr>
        <w:pStyle w:val="Compact"/>
      </w:pPr>
      <w:r>
        <w:rPr>
          <w:bCs/>
          <w:b/>
        </w:rPr>
        <w:t xml:space="preserve">Scope 1: Direct GHG Emissions</w:t>
      </w:r>
      <w:r>
        <w:t xml:space="preserve"> </w:t>
      </w:r>
      <w:r>
        <w:t xml:space="preserve">from sources owned or controlled by kqhjjqwkmd (GreenTech Innovations), such as on-site fuel combustion. For this product-level analysis, direct manufacturing emissions not related to electricity or material processing are considered negligible or embedded in material EFs, unless specifically identified.</w:t>
      </w:r>
    </w:p>
    <w:p>
      <w:pPr>
        <w:numPr>
          <w:ilvl w:val="0"/>
          <w:numId w:val="1002"/>
        </w:numPr>
        <w:pStyle w:val="Compact"/>
      </w:pPr>
      <w:r>
        <w:rPr>
          <w:bCs/>
          <w:b/>
        </w:rPr>
        <w:t xml:space="preserve">Scope 2: Indirect GHG Emissions from Purchased Energy</w:t>
      </w:r>
      <w:r>
        <w:t xml:space="preserve">, primarily electricity consumed during the manufacturing process.</w:t>
      </w:r>
    </w:p>
    <w:p>
      <w:pPr>
        <w:numPr>
          <w:ilvl w:val="0"/>
          <w:numId w:val="1002"/>
        </w:numPr>
        <w:pStyle w:val="Compact"/>
      </w:pPr>
      <w:r>
        <w:rPr>
          <w:bCs/>
          <w:b/>
        </w:rPr>
        <w:t xml:space="preserve">Scope 3: Other Indirect GHG Emissions</w:t>
      </w:r>
      <w:r>
        <w:t xml:space="preserve"> </w:t>
      </w:r>
      <w:r>
        <w:t xml:space="preserve">occurring in the value chain, both upstream (e.g., raw material extraction, inbound transportation) and downstream (e.g., outbound transportation, use of sold products, end-of-life treatment).</w:t>
      </w:r>
    </w:p>
    <w:bookmarkStart w:id="26" w:name="lsr-update"/>
    <w:p>
      <w:pPr>
        <w:pStyle w:val="Heading4"/>
      </w:pPr>
      <w:r>
        <w:t xml:space="preserve">2.4.1 2026 LSR Update</w:t>
      </w:r>
    </w:p>
    <w:p>
      <w:pPr>
        <w:pStyle w:val="FirstParagraph"/>
      </w:pPr>
      <w:r>
        <w:t xml:space="preserve">The Land Sector and Removals (LSR) Standard, released by the GHG Protocol on January 30, 2026, and taking effect on January 1, 2027, sets new requirements for accounting for emissions and carbon removals from agricultural and land use activities. While the Eco-Smart Home Hub (nywkzqzkor) does not directly involve land-based activities in its immediate product lifecycle, kqhjjqwkmd (GreenTech Innovations) acknowledges the importance of this standard. Future corporate GHG inventories and product assessments will integrate the LSR Standard as applicable, especially concerning raw materials sourcing and any potential biogenic carbon removals within the value chain, once the accompanying guidance is fully published in Q2 2026.</w:t>
      </w:r>
    </w:p>
    <w:bookmarkEnd w:id="26"/>
    <w:bookmarkStart w:id="27" w:name="scope-3-compliance-95-coverage-rule"/>
    <w:p>
      <w:pPr>
        <w:pStyle w:val="Heading4"/>
      </w:pPr>
      <w:r>
        <w:t xml:space="preserve">2.4.2 Scope 3 Compliance (95% Coverage Rule)</w:t>
      </w:r>
    </w:p>
    <w:p>
      <w:pPr>
        <w:pStyle w:val="FirstParagraph"/>
      </w:pPr>
      <w:r>
        <w:t xml:space="preserve">In line with the 2026 GHG Protocol revisions, kqhjjqwkmd (GreenTech Innovations) is committed to ensuring at least 95% coverage for all relevant Scope 3 emissions. This mandatory completeness threshold aims to improve the integrity and transparency of value chain emission reporting, moving away from selective disclosure. All significant Scope 3 categories are quantified in this report, and any justified exclusions would not exceed 5% of total required Scope 3 emissions.</w:t>
      </w:r>
    </w:p>
    <w:p>
      <w:r>
        <w:pict>
          <v:rect style="width:0;height:1.5pt" o:hralign="center" o:hrstd="t" o:hr="t"/>
        </w:pict>
      </w:r>
    </w:p>
    <w:bookmarkEnd w:id="27"/>
    <w:bookmarkEnd w:id="28"/>
    <w:bookmarkEnd w:id="29"/>
    <w:bookmarkStart w:id="35" w:name="life-cycle-mapping-and-data-collection"/>
    <w:p>
      <w:pPr>
        <w:pStyle w:val="Heading2"/>
      </w:pPr>
      <w:r>
        <w:t xml:space="preserve">3. Life Cycle Mapping and Data Collection</w:t>
      </w:r>
    </w:p>
    <w:p>
      <w:pPr>
        <w:pStyle w:val="FirstParagraph"/>
      </w:pPr>
      <w:r>
        <w:t xml:space="preserve">The product lifecycle of the Eco-Smart Home Hub (nywkzqzkor) is mapped into distinct stages, and relevant data points are collected for each. Primary data from the company\'s operations and detailed Bill of Materials (BOM) are prioritized, supplemented by secondary data from industry-standard databases where necessary.</w:t>
      </w:r>
    </w:p>
    <w:bookmarkStart w:id="30" w:name="X40dab4bd637687180cd68201e083dbc55cba43d"/>
    <w:p>
      <w:pPr>
        <w:pStyle w:val="Heading3"/>
      </w:pPr>
      <w:r>
        <w:t xml:space="preserve">3.1 Detailed Bill of Materials (BOM) - (yofljexo)</w:t>
      </w:r>
    </w:p>
    <w:p>
      <w:pPr>
        <w:pStyle w:val="FirstParagraph"/>
      </w:pPr>
      <w:r>
        <w:t xml:space="preserve">The following Bill of Materials (BOM) for nywkzqzkor was provided by kqhjjqwkmd (GreenTech Innovations) and used for high-accuracy material impact calculation. The \'Emission Factor\' values are specific to the material and process and represent industry-standard data (e.g., from Ecoinvent/DEFRA equivalents).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Calculated Carbon (kgCO2e)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7.0</w:t>
            </w:r>
          </w:p>
        </w:tc>
        <w:tc>
          <w:tcPr/>
          <w:p>
            <w:pPr>
              <w:pStyle w:val="Compact"/>
              <w:jc w:val="left"/>
            </w:pPr>
            <w:r>
              <w:t xml:space="preserve">5.60</w:t>
            </w:r>
          </w:p>
        </w:tc>
      </w:tr>
      <w:tr>
        <w:tc>
          <w:tcPr/>
          <w:p>
            <w:pPr>
              <w:pStyle w:val="Compact"/>
              <w:jc w:val="left"/>
            </w:pPr>
            <w:r>
              <w:t xml:space="preserve">MAT002</w:t>
            </w:r>
          </w:p>
        </w:tc>
        <w:tc>
          <w:tcPr/>
          <w:p>
            <w:pPr>
              <w:pStyle w:val="Compact"/>
              <w:jc w:val="left"/>
            </w:pPr>
            <w:r>
              <w:t xml:space="preserve">Recycled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MAT003</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6.00</w:t>
            </w:r>
          </w:p>
        </w:tc>
      </w:tr>
      <w:tr>
        <w:tc>
          <w:tcPr/>
          <w:p>
            <w:pPr>
              <w:pStyle w:val="Compact"/>
              <w:jc w:val="left"/>
            </w:pPr>
            <w:r>
              <w:t xml:space="preserve">MAT006</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4"/>
          </w:tcPr>
          <w:p>
            <w:pPr>
              <w:pStyle w:val="Compact"/>
              <w:jc w:val="left"/>
            </w:pPr>
            <w:r>
              <w:rPr>
                <w:bCs/>
                <w:b/>
              </w:rPr>
              <w:t xml:space="preserve">Total Material Weight (per unit)</w:t>
            </w:r>
          </w:p>
        </w:tc>
        <w:tc>
          <w:tcPr/>
          <w:p>
            <w:pPr>
              <w:pStyle w:val="Compact"/>
              <w:jc w:val="left"/>
            </w:pPr>
            <w:r>
              <w:rPr>
                <w:bCs/>
                <w:b/>
              </w:rPr>
              <w:t xml:space="preserve">1.70 kg</w:t>
            </w:r>
          </w:p>
        </w:tc>
        <w:tc>
          <w:tcPr>
            <w:gridSpan w:val="2"/>
          </w:tcPr>
          <w:p>
            <w:pPr>
              <w:pStyle w:val="Compact"/>
            </w:pPr>
          </w:p>
        </w:tc>
        <w:tc>
          <w:tcPr/>
          <w:p>
            <w:pPr>
              <w:pStyle w:val="Compact"/>
              <w:jc w:val="left"/>
            </w:pPr>
            <w:r>
              <w:rPr>
                <w:bCs/>
                <w:b/>
              </w:rPr>
              <w:t xml:space="preserve">27.70 kgCO2e</w:t>
            </w:r>
          </w:p>
        </w:tc>
      </w:tr>
    </w:tbl>
    <w:p>
      <w:pPr>
        <w:pStyle w:val="BodyText"/>
      </w:pPr>
      <w:r>
        <w:rPr>
          <w:iCs/>
          <w:i/>
        </w:rPr>
        <w:t xml:space="preserve">Note: Emission Factors are based on provided BOM data, consistent with industry-standard databases (e.g., Ecoinvent, DEFRA). "Calculated Carbon" is derived from Qty * Emission Factor.</w:t>
      </w:r>
    </w:p>
    <w:bookmarkEnd w:id="30"/>
    <w:bookmarkStart w:id="31" w:name="X0623784a3ce0d70ed87ff04867f335ee92cdd04"/>
    <w:p>
      <w:pPr>
        <w:pStyle w:val="Heading3"/>
      </w:pPr>
      <w:r>
        <w:t xml:space="preserve">3.2 Energy Inputs and Renewable Energy Usage (Production)</w:t>
      </w:r>
    </w:p>
    <w:p>
      <w:pPr>
        <w:numPr>
          <w:ilvl w:val="0"/>
          <w:numId w:val="1003"/>
        </w:numPr>
        <w:pStyle w:val="Compact"/>
      </w:pPr>
      <w:r>
        <w:rPr>
          <w:bCs/>
          <w:b/>
        </w:rPr>
        <w:t xml:space="preserve">Energy Intensity (kWh/unit):</w:t>
      </w:r>
      <w:r>
        <w:t xml:space="preserve"> </w:t>
      </w:r>
      <w:r>
        <w:t xml:space="preserve">vwvkmeyrvm (3.5 kWh/unit)</w:t>
      </w:r>
    </w:p>
    <w:p>
      <w:pPr>
        <w:numPr>
          <w:ilvl w:val="0"/>
          <w:numId w:val="1003"/>
        </w:numPr>
        <w:pStyle w:val="Compact"/>
      </w:pPr>
      <w:r>
        <w:rPr>
          <w:bCs/>
          <w:b/>
        </w:rPr>
        <w:t xml:space="preserve">Renewable Energy Usage:</w:t>
      </w:r>
      <w:r>
        <w:t xml:space="preserve"> </w:t>
      </w:r>
      <w:r>
        <w:t xml:space="preserve">gpugwhzwvv (60%)</w:t>
      </w:r>
    </w:p>
    <w:p>
      <w:pPr>
        <w:numPr>
          <w:ilvl w:val="0"/>
          <w:numId w:val="1003"/>
        </w:numPr>
        <w:pStyle w:val="Compact"/>
      </w:pPr>
      <w:r>
        <w:rPr>
          <w:bCs/>
          <w:b/>
        </w:rPr>
        <w:t xml:space="preserve">Non-Renewable Energy:</w:t>
      </w:r>
      <w:r>
        <w:t xml:space="preserve"> </w:t>
      </w:r>
      <w:r>
        <w:t xml:space="preserve">3.5 kWh/unit * (1 - 0.60) = 1.4 kWh/unit</w:t>
      </w:r>
    </w:p>
    <w:p>
      <w:pPr>
        <w:numPr>
          <w:ilvl w:val="0"/>
          <w:numId w:val="1003"/>
        </w:numPr>
        <w:pStyle w:val="Compact"/>
      </w:pPr>
      <w:r>
        <w:rPr>
          <w:bCs/>
          <w:b/>
        </w:rPr>
        <w:t xml:space="preserve">Renewable Energy:</w:t>
      </w:r>
      <w:r>
        <w:t xml:space="preserve"> </w:t>
      </w:r>
      <w:r>
        <w:t xml:space="preserve">3.5 kWh/unit * 0.60 = 2.1 kWh/unit (assumed zero emissions at point of use)</w:t>
      </w:r>
    </w:p>
    <w:p>
      <w:pPr>
        <w:numPr>
          <w:ilvl w:val="0"/>
          <w:numId w:val="1003"/>
        </w:numPr>
        <w:pStyle w:val="Compact"/>
      </w:pPr>
      <w:r>
        <w:rPr>
          <w:bCs/>
          <w:b/>
        </w:rPr>
        <w:t xml:space="preserve">Electricity Grid Emission Factor (China):</w:t>
      </w:r>
      <w:r>
        <w:t xml:space="preserve"> </w:t>
      </w:r>
      <w:r>
        <w:t xml:space="preserve">0.58 kgCO2e/kWh (average for 2021-2023)</w:t>
      </w:r>
    </w:p>
    <w:bookmarkEnd w:id="31"/>
    <w:bookmarkStart w:id="32" w:name="transport-logistics-data"/>
    <w:p>
      <w:pPr>
        <w:pStyle w:val="Heading3"/>
      </w:pPr>
      <w:r>
        <w:t xml:space="preserve">3.3 Transport Logistics Data</w:t>
      </w:r>
    </w:p>
    <w:p>
      <w:pPr>
        <w:numPr>
          <w:ilvl w:val="0"/>
          <w:numId w:val="1004"/>
        </w:numPr>
        <w:pStyle w:val="Compact"/>
      </w:pPr>
      <w:r>
        <w:rPr>
          <w:bCs/>
          <w:b/>
        </w:rPr>
        <w:t xml:space="preserve">Total Product Weight:</w:t>
      </w:r>
      <w:r>
        <w:t xml:space="preserve"> </w:t>
      </w:r>
      <w:r>
        <w:t xml:space="preserve">1.7 kg/unit (derived from BOM) = 0.0017 tonnes/unit</w:t>
      </w:r>
    </w:p>
    <w:p>
      <w:pPr>
        <w:numPr>
          <w:ilvl w:val="0"/>
          <w:numId w:val="1004"/>
        </w:numPr>
        <w:pStyle w:val="Compact"/>
      </w:pPr>
      <w:r>
        <w:rPr>
          <w:bCs/>
          <w:b/>
        </w:rPr>
        <w:t xml:space="preserve">Transport Mode:</w:t>
      </w:r>
      <w:r>
        <w:t xml:space="preserve"> </w:t>
      </w:r>
      <w:r>
        <w:t xml:space="preserve">Select Mode (Ocean Freight (Asia to Europe), Road Freight (European Distribution))</w:t>
      </w:r>
    </w:p>
    <w:p>
      <w:pPr>
        <w:numPr>
          <w:ilvl w:val="0"/>
          <w:numId w:val="1004"/>
        </w:numPr>
        <w:pStyle w:val="Compact"/>
      </w:pPr>
      <w:r>
        <w:rPr>
          <w:bCs/>
          <w:b/>
        </w:rPr>
        <w:t xml:space="preserve">Transport Distance:</w:t>
      </w:r>
      <w:r>
        <w:t xml:space="preserve"> </w:t>
      </w:r>
      <w:r>
        <w:t xml:space="preserve">yoooztszer (15,000 km for Ocean, 800 km for Road, 50 km for Last-Mile)</w:t>
      </w:r>
    </w:p>
    <w:p>
      <w:pPr>
        <w:numPr>
          <w:ilvl w:val="0"/>
          <w:numId w:val="1004"/>
        </w:numPr>
        <w:pStyle w:val="Compact"/>
      </w:pPr>
      <w:r>
        <w:rPr>
          <w:bCs/>
          <w:b/>
        </w:rPr>
        <w:t xml:space="preserve">Last-Mile Delivery Channel:</w:t>
      </w:r>
      <w:r>
        <w:t xml:space="preserve"> </w:t>
      </w:r>
      <w:r>
        <w:t xml:space="preserve">Delivery Type (Standard Parcel Delivery (Van))</w:t>
      </w:r>
    </w:p>
    <w:p>
      <w:pPr>
        <w:numPr>
          <w:ilvl w:val="0"/>
          <w:numId w:val="1004"/>
        </w:numPr>
        <w:pStyle w:val="Compact"/>
      </w:pPr>
      <w:r>
        <w:rPr>
          <w:bCs/>
          <w:b/>
        </w:rPr>
        <w:t xml:space="preserve">Emission Factor - Ocean Freight (Container Ship):</w:t>
      </w:r>
      <w:r>
        <w:t xml:space="preserve"> </w:t>
      </w:r>
      <w:r>
        <w:t xml:space="preserve">0.017 kgCO2e/tonne-km (average)</w:t>
      </w:r>
    </w:p>
    <w:p>
      <w:pPr>
        <w:numPr>
          <w:ilvl w:val="0"/>
          <w:numId w:val="1004"/>
        </w:numPr>
        <w:pStyle w:val="Compact"/>
      </w:pPr>
      <w:r>
        <w:rPr>
          <w:bCs/>
          <w:b/>
        </w:rPr>
        <w:t xml:space="preserve">Emission Factor - Road Freight (Heavy Duty Truck, EU):</w:t>
      </w:r>
      <w:r>
        <w:t xml:space="preserve"> </w:t>
      </w:r>
      <w:r>
        <w:t xml:space="preserve">0.08 kgCO2e/tonne-km (average)</w:t>
      </w:r>
    </w:p>
    <w:p>
      <w:pPr>
        <w:numPr>
          <w:ilvl w:val="0"/>
          <w:numId w:val="1004"/>
        </w:numPr>
        <w:pStyle w:val="Compact"/>
      </w:pPr>
      <w:r>
        <w:rPr>
          <w:bCs/>
          <w:b/>
        </w:rPr>
        <w:t xml:space="preserve">Emission Factor - Last-Mile Van:</w:t>
      </w:r>
      <w:r>
        <w:t xml:space="preserve"> </w:t>
      </w:r>
      <w:r>
        <w:t xml:space="preserve">0.23 kgCO2e/km (for average van up to 3.5 tonnes).</w:t>
      </w:r>
      <w:r>
        <w:t xml:space="preserve"> </w:t>
      </w:r>
      <w:r>
        <w:rPr>
          <w:iCs/>
          <w:i/>
        </w:rPr>
        <w:t xml:space="preserve">For allocation, it is assumed that one van travels 50 km to deliver an average of 100 units of similar size, leading to an allocated emission factor of (50 km * 0.23 kgCO2e/km) / 100 units = 0.115 kgCO2e/unit for last-mile delivery.</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lifwvhondh (7 years)</w:t>
      </w:r>
    </w:p>
    <w:p>
      <w:pPr>
        <w:numPr>
          <w:ilvl w:val="0"/>
          <w:numId w:val="1005"/>
        </w:numPr>
        <w:pStyle w:val="Compact"/>
      </w:pPr>
      <w:r>
        <w:rPr>
          <w:bCs/>
          <w:b/>
        </w:rPr>
        <w:t xml:space="preserve">Energy Consumption in Use:</w:t>
      </w:r>
      <w:r>
        <w:t xml:space="preserve"> </w:t>
      </w:r>
      <w:r>
        <w:t xml:space="preserve">yfiktstkny (20 kWh/year)</w:t>
      </w:r>
    </w:p>
    <w:p>
      <w:pPr>
        <w:numPr>
          <w:ilvl w:val="0"/>
          <w:numId w:val="1005"/>
        </w:numPr>
        <w:pStyle w:val="Compact"/>
      </w:pPr>
      <w:r>
        <w:rPr>
          <w:bCs/>
          <w:b/>
        </w:rPr>
        <w:t xml:space="preserve">Total Energy Consumption over Lifespan:</w:t>
      </w:r>
      <w:r>
        <w:t xml:space="preserve"> </w:t>
      </w:r>
      <w:r>
        <w:t xml:space="preserve">20 kWh/year * 7 years = 140 kWh/unit</w:t>
      </w:r>
    </w:p>
    <w:p>
      <w:pPr>
        <w:numPr>
          <w:ilvl w:val="0"/>
          <w:numId w:val="1005"/>
        </w:numPr>
        <w:pStyle w:val="Compact"/>
      </w:pPr>
      <w:r>
        <w:rPr>
          <w:bCs/>
          <w:b/>
        </w:rPr>
        <w:t xml:space="preserve">Electricity Grid Emission Factor (Europe average):</w:t>
      </w:r>
      <w:r>
        <w:t xml:space="preserve"> </w:t>
      </w:r>
      <w:r>
        <w:t xml:space="preserve">0.28 kgCO2e/kWh (average for 2020-2025)</w:t>
      </w:r>
    </w:p>
    <w:bookmarkEnd w:id="33"/>
    <w:bookmarkStart w:id="34"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nnprpvxeww (85%)</w:t>
      </w:r>
    </w:p>
    <w:p>
      <w:pPr>
        <w:numPr>
          <w:ilvl w:val="0"/>
          <w:numId w:val="1006"/>
        </w:numPr>
        <w:pStyle w:val="Compact"/>
      </w:pPr>
      <w:r>
        <w:rPr>
          <w:bCs/>
          <w:b/>
        </w:rPr>
        <w:t xml:space="preserve">Non-recycled portion:</w:t>
      </w:r>
      <w:r>
        <w:t xml:space="preserve"> </w:t>
      </w:r>
      <w:r>
        <w:t xml:space="preserve">100% - 85% = 15%</w:t>
      </w:r>
    </w:p>
    <w:p>
      <w:pPr>
        <w:numPr>
          <w:ilvl w:val="0"/>
          <w:numId w:val="1006"/>
        </w:numPr>
        <w:pStyle w:val="Compact"/>
      </w:pPr>
      <w:r>
        <w:rPr>
          <w:bCs/>
          <w:b/>
        </w:rPr>
        <w:t xml:space="preserve">Circular/Take-back Programs:</w:t>
      </w:r>
      <w:r>
        <w:t xml:space="preserve"> </w:t>
      </w:r>
      <w:r>
        <w:t xml:space="preserve">txdxzpppos (GreenTech Innovations implements a robust take-back program for end-of-life Eco-Smart Home Hubs, facilitating professional recycling and parts harvesting for refurbishment and material recovery.)</w:t>
      </w:r>
    </w:p>
    <w:p>
      <w:pPr>
        <w:numPr>
          <w:ilvl w:val="0"/>
          <w:numId w:val="1006"/>
        </w:numPr>
        <w:pStyle w:val="Compact"/>
      </w:pPr>
      <w:r>
        <w:rPr>
          <w:bCs/>
          <w:b/>
        </w:rPr>
        <w:t xml:space="preserve">Estimated EoL Disposal Emission Factor (for non-recycled portion):</w:t>
      </w:r>
      <w:r>
        <w:t xml:space="preserve"> </w:t>
      </w:r>
      <w:r>
        <w:t xml:space="preserve">1.0 kgCO2e/kg (simplified generic factor for residual waste disposal, acknowledging complex variations by disposal method and material)</w:t>
      </w:r>
    </w:p>
    <w:p>
      <w:r>
        <w:pict>
          <v:rect style="width:0;height:1.5pt" o:hralign="center" o:hrstd="t" o:hr="t"/>
        </w:pict>
      </w:r>
    </w:p>
    <w:bookmarkEnd w:id="34"/>
    <w:bookmarkEnd w:id="35"/>
    <w:bookmarkStart w:id="45" w:name="X5ed1785c52ea33190ab201dc51ae32fddc0a8f0"/>
    <w:p>
      <w:pPr>
        <w:pStyle w:val="Heading2"/>
      </w:pPr>
      <w:r>
        <w:t xml:space="preserve">4. Emission Calculation and Allocation by Scope</w:t>
      </w:r>
    </w:p>
    <w:p>
      <w:pPr>
        <w:pStyle w:val="FirstParagraph"/>
      </w:pPr>
      <w:r>
        <w:t xml:space="preserve">Emissions are calculated for each life cycle stage (Activity * Emission Factor = CO2e) and then allocated to their respective GHG Protocol Scopes.</w:t>
      </w:r>
    </w:p>
    <w:bookmarkStart w:id="38" w:name="upstream-emissions-scope-3"/>
    <w:p>
      <w:pPr>
        <w:pStyle w:val="Heading3"/>
      </w:pPr>
      <w:r>
        <w:t xml:space="preserve">4.1 Upstream Emissions (Scope 3)</w:t>
      </w:r>
    </w:p>
    <w:bookmarkStart w:id="36" w:name="materials-acquisition-pre-processing"/>
    <w:p>
      <w:pPr>
        <w:pStyle w:val="Heading4"/>
      </w:pPr>
      <w:r>
        <w:t xml:space="preserve">4.1.1 Materials Acquisition &amp; Pre-processing</w:t>
      </w:r>
    </w:p>
    <w:p>
      <w:pPr>
        <w:pStyle w:val="FirstParagraph"/>
      </w:pPr>
      <w:r>
        <w:t xml:space="preserve">Based on the Detailed Bill of Materials:</w:t>
      </w:r>
    </w:p>
    <w:p>
      <w:pPr>
        <w:pStyle w:val="BodyText"/>
      </w:pPr>
      <w:r>
        <w:t xml:space="preserve">Total Material Carbon =</w:t>
      </w:r>
      <w:r>
        <w:t xml:space="preserve"> </w:t>
      </w:r>
      <w:r>
        <w:rPr>
          <w:bCs/>
          <w:b/>
        </w:rPr>
        <w:t xml:space="preserve">27.70 kgCO2e/unit</w:t>
      </w:r>
    </w:p>
    <w:bookmarkEnd w:id="36"/>
    <w:bookmarkStart w:id="37" w:name="upstream-transportation"/>
    <w:p>
      <w:pPr>
        <w:pStyle w:val="Heading4"/>
      </w:pPr>
      <w:r>
        <w:t xml:space="preserve">4.1.2 Upstream Transportation</w:t>
      </w:r>
    </w:p>
    <w:p>
      <w:pPr>
        <w:pStyle w:val="FirstParagraph"/>
      </w:pPr>
      <w:r>
        <w:t xml:space="preserve">Assuming major components are sourced from Europe to China for assembly.</w:t>
      </w:r>
    </w:p>
    <w:p>
      <w:pPr>
        <w:numPr>
          <w:ilvl w:val="0"/>
          <w:numId w:val="1007"/>
        </w:numPr>
        <w:pStyle w:val="Compact"/>
      </w:pPr>
      <w:r>
        <w:rPr>
          <w:bCs/>
          <w:b/>
        </w:rPr>
        <w:t xml:space="preserve">Inbound Ocean Freight (Europe to China):</w:t>
      </w:r>
    </w:p>
    <w:p>
      <w:pPr>
        <w:numPr>
          <w:ilvl w:val="1"/>
          <w:numId w:val="1008"/>
        </w:numPr>
        <w:pStyle w:val="Compact"/>
      </w:pPr>
      <w:r>
        <w:t xml:space="preserve">Distance: 15,000 km</w:t>
      </w:r>
    </w:p>
    <w:p>
      <w:pPr>
        <w:numPr>
          <w:ilvl w:val="1"/>
          <w:numId w:val="1008"/>
        </w:numPr>
        <w:pStyle w:val="Compact"/>
      </w:pPr>
      <w:r>
        <w:t xml:space="preserve">Weight: 0.0017 tonnes/unit</w:t>
      </w:r>
    </w:p>
    <w:p>
      <w:pPr>
        <w:numPr>
          <w:ilvl w:val="1"/>
          <w:numId w:val="1008"/>
        </w:numPr>
        <w:pStyle w:val="Compact"/>
      </w:pPr>
      <w:r>
        <w:t xml:space="preserve">Emission Factor: 0.017 kgCO2e/tonne-km</w:t>
      </w:r>
    </w:p>
    <w:p>
      <w:pPr>
        <w:numPr>
          <w:ilvl w:val="1"/>
          <w:numId w:val="1008"/>
        </w:numPr>
        <w:pStyle w:val="Compact"/>
      </w:pPr>
      <w:r>
        <w:t xml:space="preserve">Calculation: 0.0017 tonnes/unit * 15,000 km * 0.017 kgCO2e/tonne-km = 0.4335 kgCO2e/unit</w:t>
      </w:r>
    </w:p>
    <w:p>
      <w:pPr>
        <w:pStyle w:val="FirstParagraph"/>
      </w:pPr>
      <w:r>
        <w:t xml:space="preserve">Total Upstream Transport Emissions =</w:t>
      </w:r>
      <w:r>
        <w:t xml:space="preserve"> </w:t>
      </w:r>
      <w:r>
        <w:rPr>
          <w:bCs/>
          <w:b/>
        </w:rPr>
        <w:t xml:space="preserve">0.4335 kgCO2e/unit</w:t>
      </w:r>
    </w:p>
    <w:p>
      <w:pPr>
        <w:pStyle w:val="BodyText"/>
      </w:pPr>
      <w:r>
        <w:rPr>
          <w:bCs/>
          <w:b/>
        </w:rPr>
        <w:t xml:space="preserve">Total Scope 3 Upstream Emissions = 27.70 kgCO2e (Materials) + 0.4335 kgCO2e (Upstream Transport) = 28.13 kgCO2e/unit</w:t>
      </w:r>
    </w:p>
    <w:bookmarkEnd w:id="37"/>
    <w:bookmarkEnd w:id="38"/>
    <w:bookmarkStart w:id="39" w:name="production-emissions-scope-1-2"/>
    <w:p>
      <w:pPr>
        <w:pStyle w:val="Heading3"/>
      </w:pPr>
      <w:r>
        <w:t xml:space="preserve">4.2 Production Emissions (Scope 1 &amp; 2)</w:t>
      </w:r>
    </w:p>
    <w:p>
      <w:pPr>
        <w:pStyle w:val="FirstParagraph"/>
      </w:pPr>
      <w:r>
        <w:t xml:space="preserve">The system boundary for production is \'factory_gate\' in China. Direct (Scope 1) emissions from on-site fuel combustion are considered negligible or embedded in material pre-processing. The primary production emissions are from purchased electricity (Scope 2).</w:t>
      </w:r>
    </w:p>
    <w:p>
      <w:pPr>
        <w:numPr>
          <w:ilvl w:val="0"/>
          <w:numId w:val="1009"/>
        </w:numPr>
        <w:pStyle w:val="Compact"/>
      </w:pPr>
      <w:r>
        <w:rPr>
          <w:bCs/>
          <w:b/>
        </w:rPr>
        <w:t xml:space="preserve">Non-Renewable Electricity Consumption:</w:t>
      </w:r>
      <w:r>
        <w:t xml:space="preserve"> </w:t>
      </w:r>
      <w:r>
        <w:t xml:space="preserve">1.4 kWh/unit</w:t>
      </w:r>
    </w:p>
    <w:p>
      <w:pPr>
        <w:numPr>
          <w:ilvl w:val="0"/>
          <w:numId w:val="1009"/>
        </w:numPr>
        <w:pStyle w:val="Compact"/>
      </w:pPr>
      <w:r>
        <w:rPr>
          <w:bCs/>
          <w:b/>
        </w:rPr>
        <w:t xml:space="preserve">Electricity Grid Emission Factor (China):</w:t>
      </w:r>
      <w:r>
        <w:t xml:space="preserve"> </w:t>
      </w:r>
      <w:r>
        <w:t xml:space="preserve">0.58 kgCO2e/kWh</w:t>
      </w:r>
    </w:p>
    <w:p>
      <w:pPr>
        <w:numPr>
          <w:ilvl w:val="0"/>
          <w:numId w:val="1009"/>
        </w:numPr>
        <w:pStyle w:val="Compact"/>
      </w:pPr>
      <w:r>
        <w:rPr>
          <w:bCs/>
          <w:b/>
        </w:rPr>
        <w:t xml:space="preserve">Calculation:</w:t>
      </w:r>
      <w:r>
        <w:t xml:space="preserve"> </w:t>
      </w:r>
      <w:r>
        <w:t xml:space="preserve">1.4 kWh/unit * 0.58 kgCO2e/kWh = 0.812 kgCO2e/unit</w:t>
      </w:r>
    </w:p>
    <w:p>
      <w:pPr>
        <w:pStyle w:val="FirstParagraph"/>
      </w:pPr>
      <w:r>
        <w:rPr>
          <w:bCs/>
          <w:b/>
        </w:rPr>
        <w:t xml:space="preserve">Total Scope 2 Emissions (Production) = 0.812 kgCO2e/unit</w:t>
      </w:r>
    </w:p>
    <w:bookmarkEnd w:id="39"/>
    <w:bookmarkStart w:id="43" w:name="downstream-emissions-scope-3"/>
    <w:p>
      <w:pPr>
        <w:pStyle w:val="Heading3"/>
      </w:pPr>
      <w:r>
        <w:t xml:space="preserve">4.3 Downstream Emissions (Scope 3)</w:t>
      </w:r>
    </w:p>
    <w:bookmarkStart w:id="40" w:name="outbound-transportation"/>
    <w:p>
      <w:pPr>
        <w:pStyle w:val="Heading4"/>
      </w:pPr>
      <w:r>
        <w:t xml:space="preserve">4.3.1 Outbound Transportation</w:t>
      </w:r>
    </w:p>
    <w:p>
      <w:pPr>
        <w:numPr>
          <w:ilvl w:val="0"/>
          <w:numId w:val="1010"/>
        </w:numPr>
        <w:pStyle w:val="Compact"/>
      </w:pPr>
      <w:r>
        <w:rPr>
          <w:bCs/>
          <w:b/>
        </w:rPr>
        <w:t xml:space="preserve">Outbound Ocean Freight (Factory in China to Europe Distribution Hub):</w:t>
      </w:r>
    </w:p>
    <w:p>
      <w:pPr>
        <w:numPr>
          <w:ilvl w:val="1"/>
          <w:numId w:val="1011"/>
        </w:numPr>
        <w:pStyle w:val="Compact"/>
      </w:pPr>
      <w:r>
        <w:t xml:space="preserve">Distance: 15,000 km</w:t>
      </w:r>
    </w:p>
    <w:p>
      <w:pPr>
        <w:numPr>
          <w:ilvl w:val="1"/>
          <w:numId w:val="1011"/>
        </w:numPr>
        <w:pStyle w:val="Compact"/>
      </w:pPr>
      <w:r>
        <w:t xml:space="preserve">Weight: 0.0017 tonnes/unit</w:t>
      </w:r>
    </w:p>
    <w:p>
      <w:pPr>
        <w:numPr>
          <w:ilvl w:val="1"/>
          <w:numId w:val="1011"/>
        </w:numPr>
        <w:pStyle w:val="Compact"/>
      </w:pPr>
      <w:r>
        <w:t xml:space="preserve">Emission Factor: 0.017 kgCO2e/tonne-km</w:t>
      </w:r>
    </w:p>
    <w:p>
      <w:pPr>
        <w:numPr>
          <w:ilvl w:val="1"/>
          <w:numId w:val="1011"/>
        </w:numPr>
        <w:pStyle w:val="Compact"/>
      </w:pPr>
      <w:r>
        <w:t xml:space="preserve">Calculation: 0.0017 tonnes/unit * 15,000 km * 0.017 kgCO2e/tonne-km = 0.4335 kgCO2e/unit</w:t>
      </w:r>
    </w:p>
    <w:p>
      <w:pPr>
        <w:numPr>
          <w:ilvl w:val="0"/>
          <w:numId w:val="1010"/>
        </w:numPr>
        <w:pStyle w:val="Compact"/>
      </w:pPr>
      <w:r>
        <w:rPr>
          <w:bCs/>
          <w:b/>
        </w:rPr>
        <w:t xml:space="preserve">Road Freight (European Distribution Hub to Local Hub):</w:t>
      </w:r>
    </w:p>
    <w:p>
      <w:pPr>
        <w:numPr>
          <w:ilvl w:val="1"/>
          <w:numId w:val="1012"/>
        </w:numPr>
        <w:pStyle w:val="Compact"/>
      </w:pPr>
      <w:r>
        <w:t xml:space="preserve">Distance: 800 km</w:t>
      </w:r>
    </w:p>
    <w:p>
      <w:pPr>
        <w:numPr>
          <w:ilvl w:val="1"/>
          <w:numId w:val="1012"/>
        </w:numPr>
        <w:pStyle w:val="Compact"/>
      </w:pPr>
      <w:r>
        <w:t xml:space="preserve">Weight: 0.0017 tonnes/unit</w:t>
      </w:r>
    </w:p>
    <w:p>
      <w:pPr>
        <w:numPr>
          <w:ilvl w:val="1"/>
          <w:numId w:val="1012"/>
        </w:numPr>
        <w:pStyle w:val="Compact"/>
      </w:pPr>
      <w:r>
        <w:t xml:space="preserve">Emission Factor: 0.08 kgCO2e/tonne-km</w:t>
      </w:r>
    </w:p>
    <w:p>
      <w:pPr>
        <w:numPr>
          <w:ilvl w:val="1"/>
          <w:numId w:val="1012"/>
        </w:numPr>
        <w:pStyle w:val="Compact"/>
      </w:pPr>
      <w:r>
        <w:t xml:space="preserve">Calculation: 0.0017 tonnes/unit * 800 km * 0.08 kgCO2e/tonne-km = 0.1088 kgCO2e/unit</w:t>
      </w:r>
    </w:p>
    <w:p>
      <w:pPr>
        <w:numPr>
          <w:ilvl w:val="0"/>
          <w:numId w:val="1010"/>
        </w:numPr>
        <w:pStyle w:val="Compact"/>
      </w:pPr>
      <w:r>
        <w:rPr>
          <w:bCs/>
          <w:b/>
        </w:rPr>
        <w:t xml:space="preserve">Last-Mile Delivery (Local Hub to Customer via Van):</w:t>
      </w:r>
    </w:p>
    <w:p>
      <w:pPr>
        <w:numPr>
          <w:ilvl w:val="1"/>
          <w:numId w:val="1013"/>
        </w:numPr>
        <w:pStyle w:val="Compact"/>
      </w:pPr>
      <w:r>
        <w:t xml:space="preserve">Distance: 50 km (allocated per unit)</w:t>
      </w:r>
    </w:p>
    <w:p>
      <w:pPr>
        <w:numPr>
          <w:ilvl w:val="1"/>
          <w:numId w:val="1013"/>
        </w:numPr>
        <w:pStyle w:val="Compact"/>
      </w:pPr>
      <w:r>
        <w:t xml:space="preserve">Allocated Emission Factor: 0.115 kgCO2e/unit (based on van EF of 0.23 kgCO2e/km for a 50km route delivering 100 units)</w:t>
      </w:r>
    </w:p>
    <w:p>
      <w:pPr>
        <w:numPr>
          <w:ilvl w:val="1"/>
          <w:numId w:val="1013"/>
        </w:numPr>
        <w:pStyle w:val="Compact"/>
      </w:pPr>
      <w:r>
        <w:t xml:space="preserve">Calculation: 0.115 kgCO2e/unit</w:t>
      </w:r>
    </w:p>
    <w:p>
      <w:pPr>
        <w:pStyle w:val="FirstParagraph"/>
      </w:pPr>
      <w:r>
        <w:t xml:space="preserve">Total Downstream Transport Emissions = 0.4335 kgCO2e + 0.1088 kgCO2e + 0.115 kgCO2e =</w:t>
      </w:r>
      <w:r>
        <w:t xml:space="preserve"> </w:t>
      </w:r>
      <w:r>
        <w:rPr>
          <w:bCs/>
          <w:b/>
        </w:rPr>
        <w:t xml:space="preserve">0.6573 kgCO2e/unit</w:t>
      </w:r>
    </w:p>
    <w:bookmarkEnd w:id="40"/>
    <w:bookmarkStart w:id="41" w:name="use-phase"/>
    <w:p>
      <w:pPr>
        <w:pStyle w:val="Heading4"/>
      </w:pPr>
      <w:r>
        <w:t xml:space="preserve">4.3.2 Use Phase</w:t>
      </w:r>
    </w:p>
    <w:p>
      <w:pPr>
        <w:numPr>
          <w:ilvl w:val="0"/>
          <w:numId w:val="1014"/>
        </w:numPr>
        <w:pStyle w:val="Compact"/>
      </w:pPr>
      <w:r>
        <w:rPr>
          <w:bCs/>
          <w:b/>
        </w:rPr>
        <w:t xml:space="preserve">Total Energy Consumption:</w:t>
      </w:r>
      <w:r>
        <w:t xml:space="preserve"> </w:t>
      </w:r>
      <w:r>
        <w:t xml:space="preserve">140 kWh/unit (over 7-year lifespan)</w:t>
      </w:r>
    </w:p>
    <w:p>
      <w:pPr>
        <w:numPr>
          <w:ilvl w:val="0"/>
          <w:numId w:val="1014"/>
        </w:numPr>
        <w:pStyle w:val="Compact"/>
      </w:pPr>
      <w:r>
        <w:rPr>
          <w:bCs/>
          <w:b/>
        </w:rPr>
        <w:t xml:space="preserve">Electricity Grid Emission Factor (Europe average):</w:t>
      </w:r>
      <w:r>
        <w:t xml:space="preserve"> </w:t>
      </w:r>
      <w:r>
        <w:t xml:space="preserve">0.28 kgCO2e/kWh</w:t>
      </w:r>
    </w:p>
    <w:p>
      <w:pPr>
        <w:numPr>
          <w:ilvl w:val="0"/>
          <w:numId w:val="1014"/>
        </w:numPr>
        <w:pStyle w:val="Compact"/>
      </w:pPr>
      <w:r>
        <w:rPr>
          <w:bCs/>
          <w:b/>
        </w:rPr>
        <w:t xml:space="preserve">Calculation:</w:t>
      </w:r>
      <w:r>
        <w:t xml:space="preserve"> </w:t>
      </w:r>
      <w:r>
        <w:t xml:space="preserve">140 kWh/unit * 0.28 kgCO2e/kWh = 39.20 kgCO2e/unit</w:t>
      </w:r>
    </w:p>
    <w:p>
      <w:pPr>
        <w:pStyle w:val="FirstParagraph"/>
      </w:pPr>
      <w:r>
        <w:t xml:space="preserve">Total Use Phase Emissions =</w:t>
      </w:r>
      <w:r>
        <w:t xml:space="preserve"> </w:t>
      </w:r>
      <w:r>
        <w:rPr>
          <w:bCs/>
          <w:b/>
        </w:rPr>
        <w:t xml:space="preserve">39.20 kgCO2e/unit</w:t>
      </w:r>
    </w:p>
    <w:bookmarkEnd w:id="41"/>
    <w:bookmarkStart w:id="42" w:name="end-of-life-eol"/>
    <w:p>
      <w:pPr>
        <w:pStyle w:val="Heading4"/>
      </w:pPr>
      <w:r>
        <w:t xml:space="preserve">4.3.3 End-of-Life (EoL)</w:t>
      </w:r>
    </w:p>
    <w:p>
      <w:pPr>
        <w:pStyle w:val="FirstParagraph"/>
      </w:pPr>
      <w:r>
        <w:t xml:space="preserve">Following a modified cut-off approach, the focus is on emissions from the non-recycled portion.</w:t>
      </w:r>
    </w:p>
    <w:p>
      <w:pPr>
        <w:numPr>
          <w:ilvl w:val="0"/>
          <w:numId w:val="1015"/>
        </w:numPr>
        <w:pStyle w:val="Compact"/>
      </w:pPr>
      <w:r>
        <w:rPr>
          <w:bCs/>
          <w:b/>
        </w:rPr>
        <w:t xml:space="preserve">Total Product Weight:</w:t>
      </w:r>
      <w:r>
        <w:t xml:space="preserve"> </w:t>
      </w:r>
      <w:r>
        <w:t xml:space="preserve">1.7 kg/unit</w:t>
      </w:r>
    </w:p>
    <w:p>
      <w:pPr>
        <w:numPr>
          <w:ilvl w:val="0"/>
          <w:numId w:val="1015"/>
        </w:numPr>
        <w:pStyle w:val="Compact"/>
      </w:pPr>
      <w:r>
        <w:rPr>
          <w:bCs/>
          <w:b/>
        </w:rPr>
        <w:t xml:space="preserve">Non-recycled portion:</w:t>
      </w:r>
      <w:r>
        <w:t xml:space="preserve"> </w:t>
      </w:r>
      <w:r>
        <w:t xml:space="preserve">15% (1.7 kg * 0.15 = 0.255 kg/unit)</w:t>
      </w:r>
    </w:p>
    <w:p>
      <w:pPr>
        <w:numPr>
          <w:ilvl w:val="0"/>
          <w:numId w:val="1015"/>
        </w:numPr>
        <w:pStyle w:val="Compact"/>
      </w:pPr>
      <w:r>
        <w:rPr>
          <w:bCs/>
          <w:b/>
        </w:rPr>
        <w:t xml:space="preserve">Estimated EoL Disposal Emission Factor:</w:t>
      </w:r>
      <w:r>
        <w:t xml:space="preserve"> </w:t>
      </w:r>
      <w:r>
        <w:t xml:space="preserve">1.0 kgCO2e/kg</w:t>
      </w:r>
    </w:p>
    <w:p>
      <w:pPr>
        <w:numPr>
          <w:ilvl w:val="0"/>
          <w:numId w:val="1015"/>
        </w:numPr>
        <w:pStyle w:val="Compact"/>
      </w:pPr>
      <w:r>
        <w:rPr>
          <w:bCs/>
          <w:b/>
        </w:rPr>
        <w:t xml:space="preserve">Calculation:</w:t>
      </w:r>
      <w:r>
        <w:t xml:space="preserve"> </w:t>
      </w:r>
      <w:r>
        <w:t xml:space="preserve">0.255 kg/unit * 1.0 kgCO2e/kg = 0.255 kgCO2e/unit</w:t>
      </w:r>
    </w:p>
    <w:p>
      <w:pPr>
        <w:pStyle w:val="FirstParagraph"/>
      </w:pPr>
      <w:r>
        <w:t xml:space="preserve">The implementation of circular/take-back programs by kqhjjqwkmd (GreenTech Innovations) significantly increases the recycling rate, thereby reducing the environmental burden of end-of-life disposal.</w:t>
      </w:r>
    </w:p>
    <w:p>
      <w:pPr>
        <w:pStyle w:val="BodyText"/>
      </w:pPr>
      <w:r>
        <w:t xml:space="preserve">Total End-of-Life Emissions =</w:t>
      </w:r>
      <w:r>
        <w:t xml:space="preserve"> </w:t>
      </w:r>
      <w:r>
        <w:rPr>
          <w:bCs/>
          <w:b/>
        </w:rPr>
        <w:t xml:space="preserve">0.255 kgCO2e/unit</w:t>
      </w:r>
    </w:p>
    <w:p>
      <w:pPr>
        <w:pStyle w:val="BodyText"/>
      </w:pPr>
      <w:r>
        <w:rPr>
          <w:bCs/>
          <w:b/>
        </w:rPr>
        <w:t xml:space="preserve">Total Scope 3 Downstream Emissions = 0.6573 kgCO2e (Outbound Transport) + 39.20 kgCO2e (Use Phase) + 0.255 kgCO2e (EoL) = 40.11 kgCO2e/unit</w:t>
      </w:r>
    </w:p>
    <w:bookmarkEnd w:id="42"/>
    <w:bookmarkEnd w:id="43"/>
    <w:bookmarkStart w:id="44" w:name="X5bfff41097940a31961c4db4494804084aae818"/>
    <w:p>
      <w:pPr>
        <w:pStyle w:val="Heading3"/>
      </w:pPr>
      <w:r>
        <w:t xml:space="preserve">4.4 Summary of Product Carbon Footprint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(On-site manufacturing, fuel combustion)</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0.81</w:t>
            </w:r>
          </w:p>
        </w:tc>
        <w:tc>
          <w:tcPr/>
          <w:p>
            <w:pPr>
              <w:pStyle w:val="Compact"/>
              <w:jc w:val="left"/>
            </w:pPr>
            <w:r>
              <w:t xml:space="preserve">1.26%</w:t>
            </w:r>
          </w:p>
        </w:tc>
      </w:tr>
      <w:tr>
        <w:tc>
          <w:tcPr>
            <w:vMerge w:val="restart"/>
          </w:tcPr>
          <w:p>
            <w:pPr>
              <w:pStyle w:val="Compact"/>
              <w:jc w:val="left"/>
            </w:pPr>
            <w:r>
              <w:t xml:space="preserve">Scope 3</w:t>
            </w:r>
          </w:p>
        </w:tc>
        <w:tc>
          <w:tcPr/>
          <w:p>
            <w:pPr>
              <w:pStyle w:val="Compact"/>
              <w:jc w:val="left"/>
            </w:pPr>
            <w:r>
              <w:t xml:space="preserve">Materials Acquisition &amp; Pre-processing (Upstream)</w:t>
            </w:r>
          </w:p>
        </w:tc>
        <w:tc>
          <w:tcPr/>
          <w:p>
            <w:pPr>
              <w:pStyle w:val="Compact"/>
              <w:jc w:val="left"/>
            </w:pPr>
            <w:r>
              <w:t xml:space="preserve">27.70</w:t>
            </w:r>
          </w:p>
        </w:tc>
        <w:tc>
          <w:tcPr/>
          <w:p>
            <w:pPr>
              <w:pStyle w:val="Compact"/>
              <w:jc w:val="left"/>
            </w:pPr>
            <w:r>
              <w:t xml:space="preserve">42.88%</w:t>
            </w:r>
          </w:p>
        </w:tc>
      </w:tr>
      <w:tr>
        <w:tc>
          <w:tcPr>
            <w:gridSpan w:val="1"/>
            <w:vMerge w:val="continue"/>
          </w:tcPr>
          <w:p>
            <w:pPr/>
          </w:p>
        </w:tc>
        <w:tc>
          <w:tcPr/>
          <w:p>
            <w:pPr>
              <w:pStyle w:val="Compact"/>
              <w:jc w:val="left"/>
            </w:pPr>
            <w:r>
              <w:t xml:space="preserve">Transportation (Upstream &amp; Downstream)</w:t>
            </w:r>
          </w:p>
        </w:tc>
        <w:tc>
          <w:tcPr/>
          <w:p>
            <w:pPr>
              <w:pStyle w:val="Compact"/>
              <w:jc w:val="left"/>
            </w:pPr>
            <w:r>
              <w:t xml:space="preserve">1.09</w:t>
            </w:r>
          </w:p>
        </w:tc>
        <w:tc>
          <w:tcPr/>
          <w:p>
            <w:pPr>
              <w:pStyle w:val="Compact"/>
              <w:jc w:val="left"/>
            </w:pPr>
            <w:r>
              <w:t xml:space="preserve">1.69%</w:t>
            </w:r>
          </w:p>
        </w:tc>
      </w:tr>
      <w:tr>
        <w:tc>
          <w:tcPr>
            <w:gridSpan w:val="1"/>
            <w:vMerge w:val="continue"/>
          </w:tcPr>
          <w:p>
            <w:pPr/>
          </w:p>
        </w:tc>
        <w:tc>
          <w:tcPr/>
          <w:p>
            <w:pPr>
              <w:pStyle w:val="Compact"/>
              <w:jc w:val="left"/>
            </w:pPr>
            <w:r>
              <w:t xml:space="preserve">Use Phase &amp; End-of-Life (Downstream)</w:t>
            </w:r>
          </w:p>
        </w:tc>
        <w:tc>
          <w:tcPr/>
          <w:p>
            <w:pPr>
              <w:pStyle w:val="Compact"/>
              <w:jc w:val="left"/>
            </w:pPr>
            <w:r>
              <w:t xml:space="preserve">39.46</w:t>
            </w:r>
          </w:p>
        </w:tc>
        <w:tc>
          <w:tcPr/>
          <w:p>
            <w:pPr>
              <w:pStyle w:val="Compact"/>
              <w:jc w:val="left"/>
            </w:pPr>
            <w:r>
              <w:t xml:space="preserve">54.17%</w:t>
            </w:r>
          </w:p>
        </w:tc>
      </w:tr>
      <w:tr>
        <w:tc>
          <w:tcPr>
            <w:gridSpan w:val="2"/>
          </w:tcPr>
          <w:p>
            <w:pPr>
              <w:pStyle w:val="Compact"/>
              <w:jc w:val="left"/>
            </w:pPr>
            <w:r>
              <w:rPr>
                <w:bCs/>
                <w:b/>
              </w:rPr>
              <w:t xml:space="preserve">Total Product Carbon Footprint</w:t>
            </w:r>
          </w:p>
        </w:tc>
        <w:tc>
          <w:tcPr/>
          <w:p>
            <w:pPr>
              <w:pStyle w:val="Compact"/>
              <w:jc w:val="left"/>
            </w:pPr>
            <w:r>
              <w:rPr>
                <w:bCs/>
                <w:b/>
              </w:rPr>
              <w:t xml:space="preserve">64.60</w:t>
            </w:r>
          </w:p>
        </w:tc>
        <w:tc>
          <w:tcPr/>
          <w:p>
            <w:pPr>
              <w:pStyle w:val="Compact"/>
              <w:jc w:val="left"/>
            </w:pPr>
            <w:r>
              <w:rPr>
                <w:bCs/>
                <w:b/>
              </w:rPr>
              <w:t xml:space="preserve">100.00%</w:t>
            </w:r>
          </w:p>
        </w:tc>
      </w:tr>
    </w:tbl>
    <w:p>
      <w:pPr>
        <w:pStyle w:val="BodyText"/>
      </w:pPr>
      <w:r>
        <w:rPr>
          <w:iCs/>
          <w:i/>
        </w:rPr>
        <w:t xml:space="preserve">Note: Scope 1 emissions are considered negligible for this product\'s manufacturing boundary beyond what is covered by material processing and purchased electricity, and thus recorded as 0.00 kgCO2e for direct emissions. Individual transport distances for last-mile delivery were averaged based on assumed parameters. Percentages may not sum to 100% due to rounding.</w:t>
      </w:r>
    </w:p>
    <w:p>
      <w:r>
        <w:pict>
          <v:rect style="width:0;height:1.5pt" o:hralign="center" o:hrstd="t" o:hr="t"/>
        </w:pict>
      </w:r>
    </w:p>
    <w:bookmarkEnd w:id="44"/>
    <w:bookmarkEnd w:id="45"/>
    <w:bookmarkStart w:id="51" w:name="review-and-reporting"/>
    <w:p>
      <w:pPr>
        <w:pStyle w:val="Heading2"/>
      </w:pPr>
      <w:r>
        <w:t xml:space="preserve">5. Review and Reporting</w:t>
      </w:r>
    </w:p>
    <w:bookmarkStart w:id="46" w:name="emission-hotspots"/>
    <w:p>
      <w:pPr>
        <w:pStyle w:val="Heading3"/>
      </w:pPr>
      <w:r>
        <w:t xml:space="preserve">5.1 Emission Hotspots</w:t>
      </w:r>
    </w:p>
    <w:p>
      <w:pPr>
        <w:pStyle w:val="FirstParagraph"/>
      </w:pPr>
      <w:r>
        <w:t xml:space="preserve">The analysis identifies the following key emission hotspots for the Eco-Smart Home Hub (nywkzqzkor):</w:t>
      </w:r>
    </w:p>
    <w:p>
      <w:pPr>
        <w:numPr>
          <w:ilvl w:val="0"/>
          <w:numId w:val="1016"/>
        </w:numPr>
        <w:pStyle w:val="Compact"/>
      </w:pPr>
      <w:r>
        <w:rPr>
          <w:bCs/>
          <w:b/>
        </w:rPr>
        <w:t xml:space="preserve">Use Phase (54.17%):</w:t>
      </w:r>
      <w:r>
        <w:t xml:space="preserve"> </w:t>
      </w:r>
      <w:r>
        <w:t xml:space="preserve">This is the dominant contributor to the overall PCF, primarily due to the energy consumption of the device over its 7-year lifespan. This highlights the importance of energy efficiency in product design and consumer behavior.</w:t>
      </w:r>
    </w:p>
    <w:p>
      <w:pPr>
        <w:numPr>
          <w:ilvl w:val="0"/>
          <w:numId w:val="1016"/>
        </w:numPr>
        <w:pStyle w:val="Compact"/>
      </w:pPr>
      <w:r>
        <w:rPr>
          <w:bCs/>
          <w:b/>
        </w:rPr>
        <w:t xml:space="preserve">Materials Acquisition &amp; Pre-processing (42.88%):</w:t>
      </w:r>
      <w:r>
        <w:t xml:space="preserve"> </w:t>
      </w:r>
      <w:r>
        <w:t xml:space="preserve">The significant impact from materials, particularly electronic components and aluminum, indicates that material selection, design for less material use, and increased use of lower-carbon alternatives are crucial.</w:t>
      </w:r>
    </w:p>
    <w:p>
      <w:pPr>
        <w:numPr>
          <w:ilvl w:val="0"/>
          <w:numId w:val="1016"/>
        </w:numPr>
        <w:pStyle w:val="Compact"/>
      </w:pPr>
      <w:r>
        <w:rPr>
          <w:bCs/>
          <w:b/>
        </w:rPr>
        <w:t xml:space="preserve">Manufacturing (Scope 2, 1.26%):</w:t>
      </w:r>
      <w:r>
        <w:t xml:space="preserve"> </w:t>
      </w:r>
      <w:r>
        <w:t xml:space="preserve">While not the largest share, there\'s potential for further reduction by increasing renewable energy usage beyond the current 60% in production facilities in China.</w:t>
      </w:r>
    </w:p>
    <w:p>
      <w:pPr>
        <w:numPr>
          <w:ilvl w:val="0"/>
          <w:numId w:val="1016"/>
        </w:numPr>
        <w:pStyle w:val="Compact"/>
      </w:pPr>
      <w:r>
        <w:rPr>
          <w:bCs/>
          <w:b/>
        </w:rPr>
        <w:t xml:space="preserve">Transportation (1.69%):</w:t>
      </w:r>
      <w:r>
        <w:t xml:space="preserve"> </w:t>
      </w:r>
      <w:r>
        <w:t xml:space="preserve">Both upstream and downstream transportation contribute, with last-mile delivery being a notable factor within this category due to the nature of parcel delivery. Optimization of logistics and choice of lower-emission transport modes remain important.</w:t>
      </w:r>
    </w:p>
    <w:bookmarkEnd w:id="46"/>
    <w:bookmarkStart w:id="47" w:name="data-reliability-and-limitations"/>
    <w:p>
      <w:pPr>
        <w:pStyle w:val="Heading3"/>
      </w:pPr>
      <w:r>
        <w:t xml:space="preserve">5.2 Data Reliability and Limitations</w:t>
      </w:r>
    </w:p>
    <w:p>
      <w:pPr>
        <w:pStyle w:val="FirstParagraph"/>
      </w:pPr>
      <w:r>
        <w:t xml:space="preserve">The reliability of this PCF is high due to the utilization of specific primary data for the Bill of Materials and energy consumption parameters. Secondary emission factors are drawn from reputable industry-standard databases (e.g., Ecoinvent, DEFRA equivalents) to ensure accuracy.</w:t>
      </w:r>
    </w:p>
    <w:p>
      <w:pPr>
        <w:pStyle w:val="BodyText"/>
      </w:pPr>
      <w:r>
        <w:t xml:space="preserve">Limitations include:</w:t>
      </w:r>
    </w:p>
    <w:p>
      <w:pPr>
        <w:numPr>
          <w:ilvl w:val="0"/>
          <w:numId w:val="1017"/>
        </w:numPr>
        <w:pStyle w:val="Compact"/>
      </w:pPr>
      <w:r>
        <w:rPr>
          <w:bCs/>
          <w:b/>
        </w:rPr>
        <w:t xml:space="preserve">Generic Emission Factors:</w:t>
      </w:r>
      <w:r>
        <w:t xml:space="preserve"> </w:t>
      </w:r>
      <w:r>
        <w:t xml:space="preserve">While industry-standard, some emission factors for materials or processes may be generic rather than specific to the exact supplier or region beyond what was provided in the BOM.</w:t>
      </w:r>
    </w:p>
    <w:p>
      <w:pPr>
        <w:numPr>
          <w:ilvl w:val="0"/>
          <w:numId w:val="1017"/>
        </w:numPr>
        <w:pStyle w:val="Compact"/>
      </w:pPr>
      <w:r>
        <w:rPr>
          <w:bCs/>
          <w:b/>
        </w:rPr>
        <w:t xml:space="preserve">Assumptions in Logistics:</w:t>
      </w:r>
      <w:r>
        <w:t xml:space="preserve"> </w:t>
      </w:r>
      <w:r>
        <w:t xml:space="preserve">The allocation of last-mile delivery emissions per unit is based on a reasonable assumption regarding van load factors, as granular data was not available for exact per-parcel emissions.</w:t>
      </w:r>
    </w:p>
    <w:p>
      <w:pPr>
        <w:numPr>
          <w:ilvl w:val="0"/>
          <w:numId w:val="1017"/>
        </w:numPr>
        <w:pStyle w:val="Compact"/>
      </w:pPr>
      <w:r>
        <w:rPr>
          <w:bCs/>
          <w:b/>
        </w:rPr>
        <w:t xml:space="preserve">EoL Simplification:</w:t>
      </w:r>
      <w:r>
        <w:t xml:space="preserve"> </w:t>
      </w:r>
      <w:r>
        <w:t xml:space="preserve">The End-of-Life calculation uses a simplified disposal emission factor for the non-recycled portion due to the complexity and variability of actual waste treatment processes and regional infrastructure. The cut-off approach for recycling allocation has been applied.</w:t>
      </w:r>
    </w:p>
    <w:p>
      <w:pPr>
        <w:numPr>
          <w:ilvl w:val="0"/>
          <w:numId w:val="1017"/>
        </w:numPr>
        <w:pStyle w:val="Compact"/>
      </w:pPr>
      <w:r>
        <w:rPr>
          <w:bCs/>
          <w:b/>
        </w:rPr>
        <w:t xml:space="preserve">LSR Standard:</w:t>
      </w:r>
      <w:r>
        <w:t xml:space="preserve"> </w:t>
      </w:r>
      <w:r>
        <w:t xml:space="preserve">While acknowledged, the full implications of the 2026 GHG Protocol Land Sector and Removals (LSR) Standard could not be fully quantified within this product-level assessment due to the standard taking effect in 2027 and accompanying guidance still being under development.</w:t>
      </w:r>
    </w:p>
    <w:bookmarkEnd w:id="47"/>
    <w:bookmarkStart w:id="50" w:name="recommendations-for-emission-reduction"/>
    <w:p>
      <w:pPr>
        <w:pStyle w:val="Heading3"/>
      </w:pPr>
      <w:r>
        <w:t xml:space="preserve">5.3 Recommendations for Emission Reduction</w:t>
      </w:r>
    </w:p>
    <w:p>
      <w:pPr>
        <w:numPr>
          <w:ilvl w:val="0"/>
          <w:numId w:val="1018"/>
        </w:numPr>
        <w:pStyle w:val="Compact"/>
      </w:pPr>
      <w:r>
        <w:rPr>
          <w:bCs/>
          <w:b/>
        </w:rPr>
        <w:t xml:space="preserve">Enhance Use Phase Efficiency:</w:t>
      </w:r>
      <w:r>
        <w:t xml:space="preserve"> </w:t>
      </w:r>
      <w:r>
        <w:t xml:space="preserve">Focus on designing more energy-efficient products and exploring strategies to influence user behavior towards more sustainable consumption patterns. Consider smart energy management features.</w:t>
      </w:r>
    </w:p>
    <w:p>
      <w:pPr>
        <w:numPr>
          <w:ilvl w:val="0"/>
          <w:numId w:val="1018"/>
        </w:numPr>
        <w:pStyle w:val="Compact"/>
      </w:pPr>
      <w:r>
        <w:rPr>
          <w:bCs/>
          <w:b/>
        </w:rPr>
        <w:t xml:space="preserve">Optimize Material Selection and Design:</w:t>
      </w:r>
      <w:r>
        <w:t xml:space="preserve"> </w:t>
      </w:r>
      <w:r>
        <w:t xml:space="preserve">Investigate opportunities for lighter-weight materials, increased recycled content (beyond current levels where feasible), and design for modularity and repair to extend product life and ease recycling.</w:t>
      </w:r>
    </w:p>
    <w:p>
      <w:pPr>
        <w:numPr>
          <w:ilvl w:val="0"/>
          <w:numId w:val="1018"/>
        </w:numPr>
        <w:pStyle w:val="Compact"/>
      </w:pPr>
      <w:r>
        <w:rPr>
          <w:bCs/>
          <w:b/>
        </w:rPr>
        <w:t xml:space="preserve">Increase Renewable Energy in Manufacturing:</w:t>
      </w:r>
      <w:r>
        <w:t xml:space="preserve"> </w:t>
      </w:r>
      <w:r>
        <w:t xml:space="preserve">Explore options to further increase the percentage of renewable energy used in production facilities in China, potentially through renewable energy attribute certificates or direct procurement.</w:t>
      </w:r>
    </w:p>
    <w:p>
      <w:pPr>
        <w:numPr>
          <w:ilvl w:val="0"/>
          <w:numId w:val="1018"/>
        </w:numPr>
        <w:pStyle w:val="Compact"/>
      </w:pPr>
      <w:r>
        <w:rPr>
          <w:bCs/>
          <w:b/>
        </w:rPr>
        <w:t xml:space="preserve">Streamline Logistics:</w:t>
      </w:r>
      <w:r>
        <w:t xml:space="preserve"> </w:t>
      </w:r>
      <w:r>
        <w:t xml:space="preserve">Continuously optimize transportation routes, consolidate shipments, and evaluate alternative, lower-emission transport modes for both inbound and outbound logistics. Collaborate with logistics partners to enhance efficiency in last-mile delivery.</w:t>
      </w:r>
    </w:p>
    <w:p>
      <w:pPr>
        <w:numPr>
          <w:ilvl w:val="0"/>
          <w:numId w:val="1018"/>
        </w:numPr>
        <w:pStyle w:val="Compact"/>
      </w:pPr>
      <w:r>
        <w:rPr>
          <w:bCs/>
          <w:b/>
        </w:rPr>
        <w:t xml:space="preserve">Strengthen Circular Economy Initiatives:</w:t>
      </w:r>
      <w:r>
        <w:t xml:space="preserve"> </w:t>
      </w:r>
      <w:r>
        <w:t xml:space="preserve">Continue to promote and expand take-back and recycling programs, exploring advanced recycling technologies to maximize material recovery and minimize waste.</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r>
        <w:t xml:space="preserve"> </w:t>
      </w:r>
      <w:r>
        <w:t xml:space="preserve">of</w:t>
      </w:r>
      <w:r>
        <w:t xml:space="preserve"> </w:t>
      </w:r>
      <w:bookmarkStart w:id="49" w:name="totalPages"/>
      <w:bookmarkEnd w:id="49"/>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Home Hub (nywkzqzkor)</dc:title>
  <dc:creator/>
  <dc:description>High-detail Product Carbon Footprint (PCF) analysis for Eco-Smart Home Hub (nywkzqzkor) by GreenTech Innovations (kqhjjqwkmd), adhering to GHG Protocol standards and 2026 updates.</dc:description>
  <dc:language>en</dc:language>
  <cp:keywords/>
  <dcterms:created xsi:type="dcterms:W3CDTF">2026-05-30T16:04:26Z</dcterms:created>
  <dcterms:modified xsi:type="dcterms:W3CDTF">2026-05-30T16:04:26Z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