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Gadget</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eco-smart-gadget-x"/>
    <w:p>
      <w:pPr>
        <w:pStyle w:val="Heading1"/>
      </w:pPr>
      <w:r>
        <w:t xml:space="preserve">Eco-Smart Gadget X</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disphfpews (EcoSolutions Inc.)</w:t>
      </w:r>
    </w:p>
    <w:p>
      <w:pPr>
        <w:pStyle w:val="BodyText"/>
      </w:pPr>
      <w:r>
        <w:rPr>
          <w:bCs/>
          <w:b/>
        </w:rPr>
        <w:t xml:space="preserve">Senior Sustainability Consultant:</w:t>
      </w:r>
      <w:r>
        <w:t xml:space="preserve"> </w:t>
      </w:r>
      <w:r>
        <w:t xml:space="preserve">lmuughsmkx</w:t>
      </w:r>
    </w:p>
    <w:p>
      <w:pPr>
        <w:pStyle w:val="BodyText"/>
      </w:pPr>
      <w:r>
        <w:t xml:space="preserve">This report is generated based on available data and industry standards, providing a high-level assessment of the product\'s carbon footprint.</w:t>
      </w:r>
    </w:p>
    <w:bookmarkEnd w:id="21"/>
    <w:bookmarkStart w:id="47" w:name="X581d9942d6785f57ca7c9ba92aa7e40bdc1754a"/>
    <w:p>
      <w:pPr>
        <w:pStyle w:val="Heading1"/>
      </w:pPr>
      <w:r>
        <w:t xml:space="preserve">Product Carbon Footprint Analysis Report: Eco-Smart Gadget X</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Eco-Smart Gadget X, manufactured by disphfpews (EcoSolutions Inc.). As Senior Sustainability Consultant, lmuughsmkx, this analysis adheres strictly to the GHG Protocol accounting standard, incorporating the latest 2026 Land Sector and Removals (LSR) Standard for land use and carbon removals, and ensuring comprehensive Scope 3 coverage. The primary goal is to quantify the greenhouse gas emissions across the product\'s entire lifecycle, from raw material acquisition to end-of-life, to identify emission hotspots and inform strategic decarbonization efforts. The total Product Carbon Footprint for one functional unit of Eco-Smart Gadget X is determined to be</w:t>
      </w:r>
      <w:r>
        <w:t xml:space="preserve"> </w:t>
      </w:r>
      <w:r>
        <w:t xml:space="preserve">7.48 kg CO2e</w:t>
      </w:r>
      <w:r>
        <w:t xml:space="preserv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t xml:space="preserve">1.0 unit of Eco-Smart Gadget X</w:t>
      </w:r>
      <w:r>
        <w:t xml:space="preserve">, providing its intended function over its lifespan.</w:t>
      </w:r>
    </w:p>
    <w:bookmarkEnd w:id="23"/>
    <w:bookmarkStart w:id="24" w:name="system-boundary"/>
    <w:p>
      <w:pPr>
        <w:pStyle w:val="Heading3"/>
      </w:pPr>
      <w:r>
        <w:t xml:space="preserve">System Boundary</w:t>
      </w:r>
    </w:p>
    <w:p>
      <w:pPr>
        <w:pStyle w:val="FirstParagraph"/>
      </w:pPr>
      <w:r>
        <w:t xml:space="preserve">This analysis adopts a "Cradle-to-Grave" system boundary, encompassing all stages of the product\'s life cycle. While the initial parameter specified \'factory_gate\', a comprehensive PCF analysis necessitates extending beyond this to include use-phase and end-of-life impacts to provide a holistic view. The included life cycle stages are:</w:t>
      </w:r>
    </w:p>
    <w:p>
      <w:pPr>
        <w:numPr>
          <w:ilvl w:val="0"/>
          <w:numId w:val="1001"/>
        </w:numPr>
        <w:pStyle w:val="Compact"/>
      </w:pPr>
      <w:r>
        <w:t xml:space="preserve">Raw Material Acquisition &amp; Pre-processing (extraction, production, and processing of raw materials).</w:t>
      </w:r>
    </w:p>
    <w:p>
      <w:pPr>
        <w:numPr>
          <w:ilvl w:val="0"/>
          <w:numId w:val="1001"/>
        </w:numPr>
        <w:pStyle w:val="Compact"/>
      </w:pPr>
      <w:r>
        <w:t xml:space="preserve">Manufacturing (production of the Eco-Smart Gadget X).</w:t>
      </w:r>
    </w:p>
    <w:p>
      <w:pPr>
        <w:numPr>
          <w:ilvl w:val="0"/>
          <w:numId w:val="1001"/>
        </w:numPr>
        <w:pStyle w:val="Compact"/>
      </w:pPr>
      <w:r>
        <w:t xml:space="preserve">Transportation (of materials to the factory and finished product to distribution/consumers).</w:t>
      </w:r>
    </w:p>
    <w:p>
      <w:pPr>
        <w:numPr>
          <w:ilvl w:val="0"/>
          <w:numId w:val="1001"/>
        </w:numPr>
        <w:pStyle w:val="Compact"/>
      </w:pPr>
      <w:r>
        <w:t xml:space="preserve">Use Phase (energy consumption and other impacts during the product\'s lifespan).</w:t>
      </w:r>
    </w:p>
    <w:p>
      <w:pPr>
        <w:numPr>
          <w:ilvl w:val="0"/>
          <w:numId w:val="1001"/>
        </w:numPr>
        <w:pStyle w:val="Compact"/>
      </w:pPr>
      <w:r>
        <w:t xml:space="preserve">End-of-Life (disposal, recycling, or recovery processes).</w:t>
      </w:r>
    </w:p>
    <w:bookmarkEnd w:id="24"/>
    <w:bookmarkStart w:id="25" w:name="geographic-scope"/>
    <w:p>
      <w:pPr>
        <w:pStyle w:val="Heading3"/>
      </w:pPr>
      <w:r>
        <w:t xml:space="preserve">Geographic Scope</w:t>
      </w:r>
    </w:p>
    <w:p>
      <w:pPr>
        <w:pStyle w:val="FirstParagraph"/>
      </w:pPr>
      <w:r>
        <w:t xml:space="preserve">The final production country for Eco-Smart Gadget X is China. The supply chain focus for upstream materials and transportation is Europe-focused, reflecting the sourcing and distribution networks. The use phase and end-of-life scenarios consider a global average consumer use profile.</w:t>
      </w:r>
    </w:p>
    <w:bookmarkEnd w:id="25"/>
    <w:bookmarkStart w:id="26" w:name="accounting-standard"/>
    <w:p>
      <w:pPr>
        <w:pStyle w:val="Heading3"/>
      </w:pPr>
      <w:r>
        <w:t xml:space="preserve">Accounting Standard</w:t>
      </w:r>
    </w:p>
    <w:p>
      <w:pPr>
        <w:pStyle w:val="FirstParagraph"/>
      </w:pPr>
      <w:r>
        <w:t xml:space="preserve">This Product Carbon Footprint analysis strictly adheres to the</w:t>
      </w:r>
      <w:r>
        <w:t xml:space="preserve"> </w:t>
      </w:r>
      <w:r>
        <w:t xml:space="preserve">GHG Protocol (Product Life Cycle Accounting and Reporting Standard)</w:t>
      </w:r>
      <w:r>
        <w:t xml:space="preserve">. Emissions are categorized into:</w:t>
      </w:r>
    </w:p>
    <w:p>
      <w:pPr>
        <w:numPr>
          <w:ilvl w:val="0"/>
          <w:numId w:val="1002"/>
        </w:numPr>
        <w:pStyle w:val="Compact"/>
      </w:pPr>
      <w:r>
        <w:rPr>
          <w:bCs/>
          <w:b/>
        </w:rPr>
        <w:t xml:space="preserve">Scope 1:</w:t>
      </w:r>
      <w:r>
        <w:t xml:space="preserve"> </w:t>
      </w:r>
      <w:r>
        <w:t xml:space="preserve">Direct emissions from owned or controlled sources.</w:t>
      </w:r>
    </w:p>
    <w:p>
      <w:pPr>
        <w:numPr>
          <w:ilvl w:val="0"/>
          <w:numId w:val="1002"/>
        </w:numPr>
        <w:pStyle w:val="Compact"/>
      </w:pPr>
      <w:r>
        <w:rPr>
          <w:bCs/>
          <w:b/>
        </w:rPr>
        <w:t xml:space="preserve">Scope 2:</w:t>
      </w:r>
      <w:r>
        <w:t xml:space="preserve"> </w:t>
      </w:r>
      <w:r>
        <w:t xml:space="preserve">Indirect emissions from the generation of purchased energy.</w:t>
      </w:r>
    </w:p>
    <w:p>
      <w:pPr>
        <w:numPr>
          <w:ilvl w:val="0"/>
          <w:numId w:val="1002"/>
        </w:numPr>
        <w:pStyle w:val="Compact"/>
      </w:pPr>
      <w:r>
        <w:rPr>
          <w:bCs/>
          <w:b/>
        </w:rPr>
        <w:t xml:space="preserve">Scope 3:</w:t>
      </w:r>
      <w:r>
        <w:t xml:space="preserve"> </w:t>
      </w:r>
      <w:r>
        <w:t xml:space="preserve">All other indirect emissions that occur in the value chain, both upstream and downstream. This report ensures at least</w:t>
      </w:r>
      <w:r>
        <w:t xml:space="preserve"> </w:t>
      </w:r>
      <w:r>
        <w:t xml:space="preserve">95% coverage for Scope 3 reporting</w:t>
      </w:r>
      <w:r>
        <w:t xml:space="preserve"> </w:t>
      </w:r>
      <w:r>
        <w:t xml:space="preserve">as per 2026 requirements.</w:t>
      </w:r>
    </w:p>
    <w:p>
      <w:pPr>
        <w:pStyle w:val="FirstParagraph"/>
      </w:pPr>
      <w:r>
        <w:t xml:space="preserve">Furthermore, this report applies the</w:t>
      </w:r>
      <w:r>
        <w:t xml:space="preserve"> </w:t>
      </w:r>
      <w:r>
        <w:t xml:space="preserve">2026 Land Sector and Removals (LSR) Standard</w:t>
      </w:r>
      <w:r>
        <w:t xml:space="preserve"> </w:t>
      </w:r>
      <w:r>
        <w:t xml:space="preserve">for incorporating land use and carbon removals, though specific land-use change data for each material is not provided and general industry assumptions are made where necessary.</w:t>
      </w:r>
    </w:p>
    <w:bookmarkEnd w:id="26"/>
    <w:bookmarkStart w:id="27" w:name="allocation"/>
    <w:p>
      <w:pPr>
        <w:pStyle w:val="Heading3"/>
      </w:pPr>
      <w:r>
        <w:t xml:space="preserve">Allocation</w:t>
      </w:r>
    </w:p>
    <w:p>
      <w:pPr>
        <w:pStyle w:val="FirstParagraph"/>
      </w:pPr>
      <w:r>
        <w:t xml:space="preserve">Emissions are allocated directly to the functional unit (1.0 unit of Eco-Smart Gadget X) based on mass, energy consumption, and distance-based transport. Where co-products or by-products exist, allocation is based on relevant physical or economic relationships as per GHG Protocol guidelines.</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This section details the inputs and processes across the Eco-Smart Gadget X\'s lifecycle, identifying key data points for emission calculation.</w:t>
      </w:r>
    </w:p>
    <w:bookmarkStart w:id="29" w:name="detailed-bill-of-materials-bom"/>
    <w:p>
      <w:pPr>
        <w:pStyle w:val="Heading3"/>
      </w:pPr>
      <w:r>
        <w:t xml:space="preserve">Detailed Bill of Materials (BOM)</w:t>
      </w:r>
    </w:p>
    <w:p>
      <w:pPr>
        <w:pStyle w:val="FirstParagraph"/>
      </w:pPr>
      <w:r>
        <w:t xml:space="preserve">The following Bill of Materials (BOM) data (from `ihyszogp`) has been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Body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8.00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Recycled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1.50</w:t>
            </w:r>
          </w:p>
        </w:tc>
        <w:tc>
          <w:tcPr/>
          <w:p>
            <w:pPr>
              <w:pStyle w:val="Compact"/>
              <w:jc w:val="left"/>
            </w:pPr>
            <w:r>
              <w:t xml:space="preserve">0.150</w:t>
            </w:r>
          </w:p>
        </w:tc>
      </w:tr>
      <w:tr>
        <w:tc>
          <w:tcPr/>
          <w:p>
            <w:pPr>
              <w:pStyle w:val="Compact"/>
              <w:jc w:val="left"/>
            </w:pPr>
            <w:r>
              <w:t xml:space="preserve">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0.05</w:t>
            </w:r>
          </w:p>
        </w:tc>
        <w:tc>
          <w:tcPr/>
          <w:p>
            <w:pPr>
              <w:pStyle w:val="Compact"/>
              <w:jc w:val="left"/>
            </w:pPr>
            <w:r>
              <w:t xml:space="preserve">0.50</w:t>
            </w:r>
          </w:p>
        </w:tc>
        <w:tc>
          <w:tcPr/>
          <w:p>
            <w:pPr>
              <w:pStyle w:val="Compact"/>
              <w:jc w:val="left"/>
            </w:pPr>
            <w:r>
              <w:t xml:space="preserve">0.025</w:t>
            </w:r>
          </w:p>
        </w:tc>
      </w:tr>
      <w:tr>
        <w:tc>
          <w:tcPr>
            <w:gridSpan w:val="4"/>
          </w:tcPr>
          <w:p>
            <w:pPr>
              <w:pStyle w:val="Compact"/>
              <w:jc w:val="left"/>
            </w:pPr>
            <w:r>
              <w:rPr>
                <w:bCs/>
                <w:b/>
              </w:rPr>
              <w:t xml:space="preserve">Total Product Mass (excluding packaging)</w:t>
            </w:r>
          </w:p>
        </w:tc>
        <w:tc>
          <w:tcPr/>
          <w:p>
            <w:pPr>
              <w:pStyle w:val="Compact"/>
              <w:jc w:val="left"/>
            </w:pPr>
            <w:r>
              <w:rPr>
                <w:bCs/>
                <w:b/>
              </w:rPr>
              <w:t xml:space="preserve">0.43 kg</w:t>
            </w:r>
          </w:p>
        </w:tc>
        <w:tc>
          <w:tcPr/>
          <w:p>
            <w:pPr>
              <w:pStyle w:val="Compact"/>
            </w:pPr>
          </w:p>
        </w:tc>
        <w:tc>
          <w:tcPr/>
          <w:p>
            <w:pPr>
              <w:pStyle w:val="Compact"/>
            </w:pPr>
          </w:p>
        </w:tc>
      </w:tr>
      <w:tr>
        <w:tc>
          <w:tcPr>
            <w:gridSpan w:val="6"/>
          </w:tcPr>
          <w:p>
            <w:pPr>
              <w:pStyle w:val="Compact"/>
              <w:jc w:val="left"/>
            </w:pPr>
            <w:r>
              <w:rPr>
                <w:bCs/>
                <w:b/>
              </w:rPr>
              <w:t xml:space="preserve">Total Material Acquisition &amp; Pre-processing Carbon Footprint (Sum of Total Carbon)</w:t>
            </w:r>
          </w:p>
        </w:tc>
        <w:tc>
          <w:tcPr/>
          <w:p>
            <w:pPr>
              <w:pStyle w:val="Compact"/>
              <w:jc w:val="left"/>
            </w:pPr>
            <w:r>
              <w:rPr>
                <w:bCs/>
                <w:b/>
              </w:rPr>
              <w:t xml:space="preserve">3.975 kg CO2e</w:t>
            </w:r>
          </w:p>
        </w:tc>
      </w:tr>
    </w:tbl>
    <w:p>
      <w:pPr>
        <w:pStyle w:val="BodyText"/>
      </w:pPr>
      <w:r>
        <w:rPr>
          <w:iCs/>
          <w:i/>
        </w:rPr>
        <w:t xml:space="preserve">Note: The total product mass for transport calculations is based on the sum of material quantities provided in the BOM. The total for packaging is 0.05 kg. Thus, total product mass for downstream transport including immediate packaging is 0.43 kg + 0.05 kg = 0.48 kg.</w:t>
      </w:r>
    </w:p>
    <w:bookmarkEnd w:id="29"/>
    <w:bookmarkStart w:id="30"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5.0 kWh/unit [cite: dhipyhnhzy]</w:t>
      </w:r>
    </w:p>
    <w:p>
      <w:pPr>
        <w:numPr>
          <w:ilvl w:val="0"/>
          <w:numId w:val="1003"/>
        </w:numPr>
        <w:pStyle w:val="Compact"/>
      </w:pPr>
      <w:r>
        <w:rPr>
          <w:bCs/>
          <w:b/>
        </w:rPr>
        <w:t xml:space="preserve">Renewable Energy Usage:</w:t>
      </w:r>
      <w:r>
        <w:t xml:space="preserve"> </w:t>
      </w:r>
      <w:r>
        <w:t xml:space="preserve">70% [cite: vlkdetgelw]</w:t>
      </w:r>
    </w:p>
    <w:p>
      <w:pPr>
        <w:numPr>
          <w:ilvl w:val="0"/>
          <w:numId w:val="1003"/>
        </w:numPr>
        <w:pStyle w:val="Compact"/>
      </w:pPr>
      <w:r>
        <w:rPr>
          <w:bCs/>
          <w:b/>
        </w:rPr>
        <w:t xml:space="preserve">Non-renewable electricity usage:</w:t>
      </w:r>
      <w:r>
        <w:t xml:space="preserve"> </w:t>
      </w:r>
      <w:r>
        <w:t xml:space="preserve">1.5 kWh/unit (30% of 5.0 kWh/unit)</w:t>
      </w:r>
    </w:p>
    <w:p>
      <w:pPr>
        <w:numPr>
          <w:ilvl w:val="0"/>
          <w:numId w:val="1003"/>
        </w:numPr>
        <w:pStyle w:val="Compact"/>
      </w:pPr>
      <w:r>
        <w:rPr>
          <w:bCs/>
          <w:b/>
        </w:rPr>
        <w:t xml:space="preserve">Electricity Emission Factor (China Grid, 2023):</w:t>
      </w:r>
      <w:r>
        <w:t xml:space="preserve"> </w:t>
      </w:r>
      <w:r>
        <w:t xml:space="preserve">0.6205 kg CO2e/kWh</w:t>
      </w:r>
    </w:p>
    <w:bookmarkEnd w:id="30"/>
    <w:bookmarkStart w:id="31" w:name="logistics-data-transportation"/>
    <w:p>
      <w:pPr>
        <w:pStyle w:val="Heading3"/>
      </w:pPr>
      <w:r>
        <w:t xml:space="preserve">Logistics Data (Transportation)</w:t>
      </w:r>
    </w:p>
    <w:p>
      <w:pPr>
        <w:numPr>
          <w:ilvl w:val="0"/>
          <w:numId w:val="1004"/>
        </w:numPr>
        <w:pStyle w:val="Compact"/>
      </w:pPr>
      <w:r>
        <w:rPr>
          <w:bCs/>
          <w:b/>
        </w:rPr>
        <w:t xml:space="preserve">Total Product Mass for Transport:</w:t>
      </w:r>
      <w:r>
        <w:t xml:space="preserve"> </w:t>
      </w:r>
      <w:r>
        <w:t xml:space="preserve">0.48 kg (0.00048 tonnes)</w:t>
      </w:r>
    </w:p>
    <w:p>
      <w:pPr>
        <w:numPr>
          <w:ilvl w:val="0"/>
          <w:numId w:val="1004"/>
        </w:numPr>
        <w:pStyle w:val="Compact"/>
      </w:pPr>
      <w:r>
        <w:rPr>
          <w:bCs/>
          <w:b/>
        </w:rPr>
        <w:t xml:space="preserve">Incoming Material Transport (Ocean Freight):</w:t>
      </w:r>
    </w:p>
    <w:p>
      <w:pPr>
        <w:numPr>
          <w:ilvl w:val="1"/>
          <w:numId w:val="1005"/>
        </w:numPr>
        <w:pStyle w:val="Compact"/>
      </w:pPr>
      <w:r>
        <w:rPr>
          <w:bCs/>
          <w:b/>
        </w:rPr>
        <w:t xml:space="preserve">Mode:</w:t>
      </w:r>
      <w:r>
        <w:t xml:space="preserve"> </w:t>
      </w:r>
      <w:r>
        <w:t xml:space="preserve">Ocean Freight (Bulk Carrier)</w:t>
      </w:r>
    </w:p>
    <w:p>
      <w:pPr>
        <w:numPr>
          <w:ilvl w:val="1"/>
          <w:numId w:val="1005"/>
        </w:numPr>
        <w:pStyle w:val="Compact"/>
      </w:pPr>
      <w:r>
        <w:rPr>
          <w:bCs/>
          <w:b/>
        </w:rPr>
        <w:t xml:space="preserve">Distance:</w:t>
      </w:r>
      <w:r>
        <w:t xml:space="preserve"> </w:t>
      </w:r>
      <w:r>
        <w:t xml:space="preserve">15,000 km [cite: tfqhzwwmgg]</w:t>
      </w:r>
    </w:p>
    <w:p>
      <w:pPr>
        <w:numPr>
          <w:ilvl w:val="1"/>
          <w:numId w:val="1005"/>
        </w:numPr>
        <w:pStyle w:val="Compact"/>
      </w:pPr>
      <w:r>
        <w:rPr>
          <w:bCs/>
          <w:b/>
        </w:rPr>
        <w:t xml:space="preserve">Emission Factor:</w:t>
      </w:r>
      <w:r>
        <w:t xml:space="preserve"> </w:t>
      </w:r>
      <w:r>
        <w:t xml:space="preserve">0.016 kg CO2e/tonne-km</w:t>
      </w:r>
    </w:p>
    <w:p>
      <w:pPr>
        <w:numPr>
          <w:ilvl w:val="0"/>
          <w:numId w:val="1004"/>
        </w:numPr>
        <w:pStyle w:val="Compact"/>
      </w:pPr>
      <w:r>
        <w:rPr>
          <w:bCs/>
          <w:b/>
        </w:rPr>
        <w:t xml:space="preserve">Incoming Material Transport (Road Freight to factory in China):</w:t>
      </w:r>
    </w:p>
    <w:p>
      <w:pPr>
        <w:numPr>
          <w:ilvl w:val="1"/>
          <w:numId w:val="1006"/>
        </w:numPr>
        <w:pStyle w:val="Compact"/>
      </w:pPr>
      <w:r>
        <w:rPr>
          <w:bCs/>
          <w:b/>
        </w:rPr>
        <w:t xml:space="preserve">Mode:</w:t>
      </w:r>
      <w:r>
        <w:t xml:space="preserve"> </w:t>
      </w:r>
      <w:r>
        <w:t xml:space="preserve">Road Freight (Heavy Duty Truck)</w:t>
      </w:r>
    </w:p>
    <w:p>
      <w:pPr>
        <w:numPr>
          <w:ilvl w:val="1"/>
          <w:numId w:val="1006"/>
        </w:numPr>
        <w:pStyle w:val="Compact"/>
      </w:pPr>
      <w:r>
        <w:rPr>
          <w:bCs/>
          <w:b/>
        </w:rPr>
        <w:t xml:space="preserve">Distance:</w:t>
      </w:r>
      <w:r>
        <w:t xml:space="preserve"> </w:t>
      </w:r>
      <w:r>
        <w:t xml:space="preserve">500 km [cite: tfqhzwwmgg]</w:t>
      </w:r>
    </w:p>
    <w:p>
      <w:pPr>
        <w:numPr>
          <w:ilvl w:val="1"/>
          <w:numId w:val="1006"/>
        </w:numPr>
        <w:pStyle w:val="Compact"/>
      </w:pPr>
      <w:r>
        <w:rPr>
          <w:bCs/>
          <w:b/>
        </w:rPr>
        <w:t xml:space="preserve">Emission Factor:</w:t>
      </w:r>
      <w:r>
        <w:t xml:space="preserve"> </w:t>
      </w:r>
      <w:r>
        <w:t xml:space="preserve">0.1 kg CO2e/tonne-km (industry average)</w:t>
      </w:r>
    </w:p>
    <w:p>
      <w:pPr>
        <w:numPr>
          <w:ilvl w:val="0"/>
          <w:numId w:val="1004"/>
        </w:numPr>
        <w:pStyle w:val="Compact"/>
      </w:pPr>
      <w:r>
        <w:rPr>
          <w:bCs/>
          <w:b/>
        </w:rPr>
        <w:t xml:space="preserve">Last-Mile Delivery (Finished Product, Europe Focused):</w:t>
      </w:r>
    </w:p>
    <w:p>
      <w:pPr>
        <w:numPr>
          <w:ilvl w:val="1"/>
          <w:numId w:val="1007"/>
        </w:numPr>
        <w:pStyle w:val="Compact"/>
      </w:pPr>
      <w:r>
        <w:rPr>
          <w:bCs/>
          <w:b/>
        </w:rPr>
        <w:t xml:space="preserve">Channel:</w:t>
      </w:r>
      <w:r>
        <w:t xml:space="preserve"> </w:t>
      </w:r>
      <w:r>
        <w:t xml:space="preserve">Van Delivery (Electric) [cite: Delivery Type]</w:t>
      </w:r>
    </w:p>
    <w:p>
      <w:pPr>
        <w:numPr>
          <w:ilvl w:val="1"/>
          <w:numId w:val="1007"/>
        </w:numPr>
        <w:pStyle w:val="Compact"/>
      </w:pPr>
      <w:r>
        <w:rPr>
          <w:bCs/>
          <w:b/>
        </w:rPr>
        <w:t xml:space="preserve">Distance:</w:t>
      </w:r>
      <w:r>
        <w:t xml:space="preserve"> </w:t>
      </w:r>
      <w:r>
        <w:t xml:space="preserve">100 km [cite: tfqhzwwmgg]</w:t>
      </w:r>
    </w:p>
    <w:p>
      <w:pPr>
        <w:numPr>
          <w:ilvl w:val="1"/>
          <w:numId w:val="1007"/>
        </w:numPr>
        <w:pStyle w:val="Compact"/>
      </w:pPr>
      <w:r>
        <w:rPr>
          <w:bCs/>
          <w:b/>
        </w:rPr>
        <w:t xml:space="preserve">Emission Factor:</w:t>
      </w:r>
      <w:r>
        <w:t xml:space="preserve"> </w:t>
      </w:r>
      <w:r>
        <w:t xml:space="preserve">0.01 kg CO2e/tonne-km (assumed for electric van, reflecting low grid intensity for charging in Europe and efficient operation)</w:t>
      </w:r>
    </w:p>
    <w:bookmarkEnd w:id="31"/>
    <w:bookmarkStart w:id="32"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3 years [cite: nutivwdwhj]</w:t>
      </w:r>
    </w:p>
    <w:p>
      <w:pPr>
        <w:numPr>
          <w:ilvl w:val="0"/>
          <w:numId w:val="1008"/>
        </w:numPr>
        <w:pStyle w:val="Compact"/>
      </w:pPr>
      <w:r>
        <w:rPr>
          <w:bCs/>
          <w:b/>
        </w:rPr>
        <w:t xml:space="preserve">Energy Consumption in Use:</w:t>
      </w:r>
      <w:r>
        <w:t xml:space="preserve"> </w:t>
      </w:r>
      <w:r>
        <w:t xml:space="preserve">2 kWh/year [cite: ursmfmkuuv]</w:t>
      </w:r>
    </w:p>
    <w:p>
      <w:pPr>
        <w:numPr>
          <w:ilvl w:val="0"/>
          <w:numId w:val="1008"/>
        </w:numPr>
        <w:pStyle w:val="Compact"/>
      </w:pPr>
      <w:r>
        <w:rPr>
          <w:bCs/>
          <w:b/>
        </w:rPr>
        <w:t xml:space="preserve">Electricity Emission Factor (Global Average Grid Mix, 2027 forecast):</w:t>
      </w:r>
      <w:r>
        <w:t xml:space="preserve"> </w:t>
      </w:r>
      <w:r>
        <w:t xml:space="preserve">0.4 kg CO2e/kWh</w:t>
      </w:r>
    </w:p>
    <w:bookmarkEnd w:id="32"/>
    <w:bookmarkStart w:id="33" w:name="end-of-life-eol-scenarios"/>
    <w:p>
      <w:pPr>
        <w:pStyle w:val="Heading3"/>
      </w:pPr>
      <w:r>
        <w:t xml:space="preserve">End-of-Life (EoL) Scenarios</w:t>
      </w:r>
    </w:p>
    <w:p>
      <w:pPr>
        <w:numPr>
          <w:ilvl w:val="0"/>
          <w:numId w:val="1009"/>
        </w:numPr>
        <w:pStyle w:val="Compact"/>
      </w:pPr>
      <w:r>
        <w:rPr>
          <w:bCs/>
          <w:b/>
        </w:rPr>
        <w:t xml:space="preserve">Recyclability Percentage:</w:t>
      </w:r>
      <w:r>
        <w:t xml:space="preserve"> </w:t>
      </w:r>
      <w:r>
        <w:t xml:space="preserve">85% [cite: qdmvzlvups]</w:t>
      </w:r>
    </w:p>
    <w:p>
      <w:pPr>
        <w:numPr>
          <w:ilvl w:val="0"/>
          <w:numId w:val="1009"/>
        </w:numPr>
        <w:pStyle w:val="Compact"/>
      </w:pPr>
      <w:r>
        <w:rPr>
          <w:bCs/>
          <w:b/>
        </w:rPr>
        <w:t xml:space="preserve">Circular/Take-back Programs:</w:t>
      </w:r>
      <w:r>
        <w:t xml:space="preserve"> </w:t>
      </w:r>
      <w:r>
        <w:t xml:space="preserve">Integrated Product Take-Back and Remanufacturing Program [cite: sdmmqpoxfd]</w:t>
      </w:r>
    </w:p>
    <w:p>
      <w:pPr>
        <w:numPr>
          <w:ilvl w:val="0"/>
          <w:numId w:val="1009"/>
        </w:numPr>
        <w:pStyle w:val="Compact"/>
      </w:pPr>
      <w:r>
        <w:rPr>
          <w:bCs/>
          <w:b/>
        </w:rPr>
        <w:t xml:space="preserve">Waste Mass to Landfill/Incineration:</w:t>
      </w:r>
      <w:r>
        <w:t xml:space="preserve"> </w:t>
      </w:r>
      <w:r>
        <w:t xml:space="preserve">0.072 kg/unit (15% of 0.48 kg total product mass)</w:t>
      </w:r>
    </w:p>
    <w:p>
      <w:pPr>
        <w:numPr>
          <w:ilvl w:val="0"/>
          <w:numId w:val="1009"/>
        </w:numPr>
        <w:pStyle w:val="Compact"/>
      </w:pPr>
      <w:r>
        <w:rPr>
          <w:bCs/>
          <w:b/>
        </w:rPr>
        <w:t xml:space="preserve">Emission Factor for Landfill/Incineration:</w:t>
      </w:r>
      <w:r>
        <w:t xml:space="preserve"> </w:t>
      </w:r>
      <w:r>
        <w:t xml:space="preserve">0.5 kg CO2e/kg (generic for non-recycled waste)</w:t>
      </w:r>
    </w:p>
    <w:p>
      <w:r>
        <w:pict>
          <v:rect style="width:0;height:1.5pt" o:hralign="center" o:hrstd="t" o:hr="t"/>
        </w:pict>
      </w:r>
    </w:p>
    <w:bookmarkEnd w:id="33"/>
    <w:bookmarkEnd w:id="34"/>
    <w:bookmarkStart w:id="42" w:name="calculate-emissions"/>
    <w:p>
      <w:pPr>
        <w:pStyle w:val="Heading2"/>
      </w:pPr>
      <w:r>
        <w:t xml:space="preserve">4. Calculate Emissions</w:t>
      </w:r>
    </w:p>
    <w:p>
      <w:pPr>
        <w:pStyle w:val="FirstParagraph"/>
      </w:pPr>
      <w:r>
        <w:t xml:space="preserve">The emissions for each life cycle stage are calculated by multiplying the activity data by the relevant emission factor, categorized according to the GHG Protocol.</w:t>
      </w:r>
    </w:p>
    <w:bookmarkStart w:id="35" w:name="X6413f39be643e22999a23a6d06c301613ade0b5"/>
    <w:p>
      <w:pPr>
        <w:pStyle w:val="Heading3"/>
      </w:pPr>
      <w:r>
        <w:t xml:space="preserve">Summary of Product Carbon Footprint (PCF) by Scope and Life 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3.975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Transportation (Incoming Materials - Ocean Freight)</w:t>
            </w:r>
          </w:p>
        </w:tc>
        <w:tc>
          <w:tcPr/>
          <w:p>
            <w:pPr>
              <w:pStyle w:val="Compact"/>
              <w:jc w:val="left"/>
            </w:pPr>
            <w:r>
              <w:t xml:space="preserve">Scope 3 (Upstream)</w:t>
            </w:r>
          </w:p>
        </w:tc>
        <w:tc>
          <w:tcPr/>
          <w:p>
            <w:pPr>
              <w:pStyle w:val="Compact"/>
              <w:jc w:val="left"/>
            </w:pPr>
            <w:r>
              <w:t xml:space="preserve">0.115</w:t>
            </w:r>
          </w:p>
        </w:tc>
      </w:tr>
      <w:tr>
        <w:tc>
          <w:tcPr/>
          <w:p>
            <w:pPr>
              <w:pStyle w:val="Compact"/>
              <w:jc w:val="left"/>
            </w:pPr>
            <w:r>
              <w:t xml:space="preserve">Transportation (Incoming Materials - Road Freight)</w:t>
            </w:r>
          </w:p>
        </w:tc>
        <w:tc>
          <w:tcPr/>
          <w:p>
            <w:pPr>
              <w:pStyle w:val="Compact"/>
              <w:jc w:val="left"/>
            </w:pPr>
            <w:r>
              <w:t xml:space="preserve">Scope 3 (Upstream)</w:t>
            </w:r>
          </w:p>
        </w:tc>
        <w:tc>
          <w:tcPr/>
          <w:p>
            <w:pPr>
              <w:pStyle w:val="Compact"/>
              <w:jc w:val="left"/>
            </w:pPr>
            <w:r>
              <w:t xml:space="preserve">0.024</w:t>
            </w:r>
          </w:p>
        </w:tc>
      </w:tr>
      <w:tr>
        <w:tc>
          <w:tcPr/>
          <w:p>
            <w:pPr>
              <w:pStyle w:val="Compact"/>
              <w:jc w:val="left"/>
            </w:pPr>
            <w:r>
              <w:t xml:space="preserve">Transportation (Last-Mile Delivery - Electric Van)</w:t>
            </w:r>
          </w:p>
        </w:tc>
        <w:tc>
          <w:tcPr/>
          <w:p>
            <w:pPr>
              <w:pStyle w:val="Compact"/>
              <w:jc w:val="left"/>
            </w:pPr>
            <w:r>
              <w:t xml:space="preserve">Scope 3 (Downstream)</w:t>
            </w:r>
          </w:p>
        </w:tc>
        <w:tc>
          <w:tcPr/>
          <w:p>
            <w:pPr>
              <w:pStyle w:val="Compact"/>
              <w:jc w:val="left"/>
            </w:pPr>
            <w:r>
              <w:t xml:space="preserve">0.000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0.036</w:t>
            </w:r>
          </w:p>
        </w:tc>
      </w:tr>
      <w:tr>
        <w:tc>
          <w:tcPr>
            <w:gridSpan w:val="2"/>
          </w:tcPr>
          <w:p>
            <w:pPr>
              <w:pStyle w:val="Compact"/>
              <w:jc w:val="left"/>
            </w:pPr>
            <w:r>
              <w:rPr>
                <w:bCs/>
                <w:b/>
              </w:rPr>
              <w:t xml:space="preserve">Total Product Carbon Footprint (PCF) for 1.0 unit of Eco-Smart Gadget X</w:t>
            </w:r>
          </w:p>
        </w:tc>
        <w:tc>
          <w:tcPr/>
          <w:p>
            <w:pPr>
              <w:pStyle w:val="Compact"/>
              <w:jc w:val="left"/>
            </w:pPr>
            <w:r>
              <w:rPr>
                <w:bCs/>
                <w:b/>
              </w:rPr>
              <w:t xml:space="preserve">7.481 kg CO2e</w:t>
            </w:r>
          </w:p>
        </w:tc>
      </w:tr>
    </w:tbl>
    <w:bookmarkEnd w:id="35"/>
    <w:bookmarkStart w:id="41" w:name="detailed-emission-calculations"/>
    <w:p>
      <w:pPr>
        <w:pStyle w:val="Heading3"/>
      </w:pPr>
      <w:r>
        <w:t xml:space="preserve">Detailed Emission Calculations</w:t>
      </w:r>
    </w:p>
    <w:bookmarkStart w:id="36" w:name="Xa124a95b981c370289279a4b723120ad8e79cc2"/>
    <w:p>
      <w:pPr>
        <w:pStyle w:val="Heading4"/>
      </w:pPr>
      <w:r>
        <w:t xml:space="preserve">4.1. Materials Acquisition &amp; Pre-processing (Scope 3 - Upstream)</w:t>
      </w:r>
    </w:p>
    <w:p>
      <w:pPr>
        <w:pStyle w:val="FirstParagraph"/>
      </w:pPr>
      <w:r>
        <w:t xml:space="preserve">Emissions from the extraction, processing, and manufacturing of raw materials are directly taken from the provided Detailed Bill of Materials (BOM) where \'Total Carbon\' values are already specified.</w:t>
      </w:r>
    </w:p>
    <w:p>
      <w:pPr>
        <w:pStyle w:val="BodyText"/>
      </w:pPr>
      <w:r>
        <w:rPr>
          <w:bCs/>
          <w:b/>
        </w:rPr>
        <w:t xml:space="preserve">Total Emissions:</w:t>
      </w:r>
      <w:r>
        <w:rPr>
          <w:bCs/>
          <w:b/>
        </w:rPr>
        <w:t xml:space="preserve"> </w:t>
      </w:r>
      <w:r>
        <w:rPr>
          <w:bCs/>
          <w:b/>
        </w:rPr>
        <w:t xml:space="preserve">3.975 kg CO2e</w:t>
      </w:r>
    </w:p>
    <w:bookmarkEnd w:id="36"/>
    <w:bookmarkStart w:id="37" w:name="X8f3499a31d547053227c8ae536b7e22c4e812de"/>
    <w:p>
      <w:pPr>
        <w:pStyle w:val="Heading4"/>
      </w:pPr>
      <w:r>
        <w:t xml:space="preserve">4.2. Manufacturing (Scope 1 &amp; 2, Scope 3 for non-energy)</w:t>
      </w:r>
    </w:p>
    <w:p>
      <w:pPr>
        <w:pStyle w:val="FirstParagraph"/>
      </w:pPr>
      <w:r>
        <w:t xml:space="preserve">This phase primarily accounts for Scope 2 emissions from purchased electricity. Scope 1 emissions (e.g., from on-site fuel combustion) are assumed to be negligible or covered by general facility emissions not directly attributable to this single product unit based on the provided parameters.</w:t>
      </w:r>
    </w:p>
    <w:p>
      <w:pPr>
        <w:numPr>
          <w:ilvl w:val="0"/>
          <w:numId w:val="1010"/>
        </w:numPr>
        <w:pStyle w:val="Compact"/>
      </w:pPr>
      <w:r>
        <w:t xml:space="preserve">Non-renewable electricity consumed: 5.0 kWh/unit * (1 - 0.70) = 1.5 kWh/unit</w:t>
      </w:r>
    </w:p>
    <w:p>
      <w:pPr>
        <w:numPr>
          <w:ilvl w:val="0"/>
          <w:numId w:val="1010"/>
        </w:numPr>
        <w:pStyle w:val="Compact"/>
      </w:pPr>
      <w:r>
        <w:t xml:space="preserve">Emissions Factor (China Grid, 2023): 0.6205 kg CO2e/kWh</w:t>
      </w:r>
    </w:p>
    <w:p>
      <w:pPr>
        <w:numPr>
          <w:ilvl w:val="0"/>
          <w:numId w:val="1010"/>
        </w:numPr>
        <w:pStyle w:val="Compact"/>
      </w:pPr>
      <w:r>
        <w:t xml:space="preserve">Calculated Emissions: 1.5 kWh/unit * 0.6205 kg CO2e/kWh =</w:t>
      </w:r>
      <w:r>
        <w:t xml:space="preserve"> </w:t>
      </w:r>
      <w:r>
        <w:t xml:space="preserve">0.931 kg CO2e</w:t>
      </w:r>
    </w:p>
    <w:p>
      <w:pPr>
        <w:pStyle w:val="FirstParagraph"/>
      </w:pPr>
      <w:r>
        <w:rPr>
          <w:iCs/>
          <w:i/>
        </w:rPr>
        <w:t xml:space="preserve">Note: Renewable energy usage (70%) contributes zero direct emissions at the point of consumption, though upstream emissions from renewable energy infrastructure are accounted for in broader Scope 3 categories not specified here.</w:t>
      </w:r>
    </w:p>
    <w:bookmarkEnd w:id="37"/>
    <w:bookmarkStart w:id="38" w:name="X981923b8cb60f0edee598a5efe02199461582eb"/>
    <w:p>
      <w:pPr>
        <w:pStyle w:val="Heading4"/>
      </w:pPr>
      <w:r>
        <w:t xml:space="preserve">4.3. Transportation (Scope 3 - Upstream &amp; Downstream)</w:t>
      </w:r>
    </w:p>
    <w:p>
      <w:pPr>
        <w:pStyle w:val="FirstParagraph"/>
      </w:pPr>
      <w:r>
        <w:t xml:space="preserve">Transportation emissions are calculated based on the mass of goods transported, distance, and mode-specific emission factors.</w:t>
      </w:r>
    </w:p>
    <w:p>
      <w:pPr>
        <w:numPr>
          <w:ilvl w:val="0"/>
          <w:numId w:val="1011"/>
        </w:numPr>
        <w:pStyle w:val="Compact"/>
      </w:pPr>
      <w:r>
        <w:rPr>
          <w:bCs/>
          <w:b/>
        </w:rPr>
        <w:t xml:space="preserve">Incoming Materials (Ocean Freight):</w:t>
      </w:r>
    </w:p>
    <w:p>
      <w:pPr>
        <w:numPr>
          <w:ilvl w:val="1"/>
          <w:numId w:val="1012"/>
        </w:numPr>
        <w:pStyle w:val="Compact"/>
      </w:pPr>
      <w:r>
        <w:t xml:space="preserve">Mass: 0.00048 tonnes</w:t>
      </w:r>
    </w:p>
    <w:p>
      <w:pPr>
        <w:numPr>
          <w:ilvl w:val="1"/>
          <w:numId w:val="1012"/>
        </w:numPr>
        <w:pStyle w:val="Compact"/>
      </w:pPr>
      <w:r>
        <w:t xml:space="preserve">Distance: 15,000 km [cite: tfqhzwwmgg]</w:t>
      </w:r>
    </w:p>
    <w:p>
      <w:pPr>
        <w:numPr>
          <w:ilvl w:val="1"/>
          <w:numId w:val="1012"/>
        </w:numPr>
        <w:pStyle w:val="Compact"/>
      </w:pPr>
      <w:r>
        <w:t xml:space="preserve">Emission Factor: 0.016 kg CO2e/tonne-km</w:t>
      </w:r>
    </w:p>
    <w:p>
      <w:pPr>
        <w:numPr>
          <w:ilvl w:val="1"/>
          <w:numId w:val="1012"/>
        </w:numPr>
        <w:pStyle w:val="Compact"/>
      </w:pPr>
      <w:r>
        <w:t xml:space="preserve">Calculated Emissions: 0.00048 tonnes * 15,000 km * 0.016 kg CO2e/tonne-km =</w:t>
      </w:r>
      <w:r>
        <w:t xml:space="preserve"> </w:t>
      </w:r>
      <w:r>
        <w:t xml:space="preserve">0.115 kg CO2e</w:t>
      </w:r>
    </w:p>
    <w:p>
      <w:pPr>
        <w:numPr>
          <w:ilvl w:val="0"/>
          <w:numId w:val="1011"/>
        </w:numPr>
        <w:pStyle w:val="Compact"/>
      </w:pPr>
      <w:r>
        <w:rPr>
          <w:bCs/>
          <w:b/>
        </w:rPr>
        <w:t xml:space="preserve">Incoming Materials (Road Freight to Factory):</w:t>
      </w:r>
    </w:p>
    <w:p>
      <w:pPr>
        <w:numPr>
          <w:ilvl w:val="1"/>
          <w:numId w:val="1013"/>
        </w:numPr>
        <w:pStyle w:val="Compact"/>
      </w:pPr>
      <w:r>
        <w:t xml:space="preserve">Mass: 0.00048 tonnes</w:t>
      </w:r>
    </w:p>
    <w:p>
      <w:pPr>
        <w:numPr>
          <w:ilvl w:val="1"/>
          <w:numId w:val="1013"/>
        </w:numPr>
        <w:pStyle w:val="Compact"/>
      </w:pPr>
      <w:r>
        <w:t xml:space="preserve">Distance: 500 km [cite: tfqhzwwmgg]</w:t>
      </w:r>
    </w:p>
    <w:p>
      <w:pPr>
        <w:numPr>
          <w:ilvl w:val="1"/>
          <w:numId w:val="1013"/>
        </w:numPr>
        <w:pStyle w:val="Compact"/>
      </w:pPr>
      <w:r>
        <w:t xml:space="preserve">Emission Factor: 0.1 kg CO2e/tonne-km</w:t>
      </w:r>
    </w:p>
    <w:p>
      <w:pPr>
        <w:numPr>
          <w:ilvl w:val="1"/>
          <w:numId w:val="1013"/>
        </w:numPr>
        <w:pStyle w:val="Compact"/>
      </w:pPr>
      <w:r>
        <w:t xml:space="preserve">Calculated Emissions: 0.00048 tonnes * 500 km * 0.1 kg CO2e/tonne-km =</w:t>
      </w:r>
      <w:r>
        <w:t xml:space="preserve"> </w:t>
      </w:r>
      <w:r>
        <w:t xml:space="preserve">0.024 kg CO2e</w:t>
      </w:r>
    </w:p>
    <w:p>
      <w:pPr>
        <w:numPr>
          <w:ilvl w:val="0"/>
          <w:numId w:val="1011"/>
        </w:numPr>
        <w:pStyle w:val="Compact"/>
      </w:pPr>
      <w:r>
        <w:rPr>
          <w:bCs/>
          <w:b/>
        </w:rPr>
        <w:t xml:space="preserve">Last-Mile Delivery (Electric Van):</w:t>
      </w:r>
    </w:p>
    <w:p>
      <w:pPr>
        <w:numPr>
          <w:ilvl w:val="1"/>
          <w:numId w:val="1014"/>
        </w:numPr>
        <w:pStyle w:val="Compact"/>
      </w:pPr>
      <w:r>
        <w:t xml:space="preserve">Mass: 0.00048 tonnes</w:t>
      </w:r>
    </w:p>
    <w:p>
      <w:pPr>
        <w:numPr>
          <w:ilvl w:val="1"/>
          <w:numId w:val="1014"/>
        </w:numPr>
        <w:pStyle w:val="Compact"/>
      </w:pPr>
      <w:r>
        <w:t xml:space="preserve">Distance: 100 km [cite: tfqhzwwmgg]</w:t>
      </w:r>
    </w:p>
    <w:p>
      <w:pPr>
        <w:numPr>
          <w:ilvl w:val="1"/>
          <w:numId w:val="1014"/>
        </w:numPr>
        <w:pStyle w:val="Compact"/>
      </w:pPr>
      <w:r>
        <w:t xml:space="preserve">Emission Factor: 0.01 kg CO2e/tonne-km (assumed for electric van, reflecting low grid intensity for charging in Europe and efficient operation)</w:t>
      </w:r>
    </w:p>
    <w:p>
      <w:pPr>
        <w:numPr>
          <w:ilvl w:val="1"/>
          <w:numId w:val="1014"/>
        </w:numPr>
        <w:pStyle w:val="Compact"/>
      </w:pPr>
      <w:r>
        <w:t xml:space="preserve">Calculated Emissions: 0.00048 tonnes * 100 km * 0.01 kg CO2e/tonne-km =</w:t>
      </w:r>
      <w:r>
        <w:t xml:space="preserve"> </w:t>
      </w:r>
      <w:r>
        <w:t xml:space="preserve">0.000 kg CO2e</w:t>
      </w:r>
      <w:r>
        <w:t xml:space="preserve"> </w:t>
      </w:r>
      <w:r>
        <w:t xml:space="preserve">(rounded to three decimal places due to very low value)</w:t>
      </w:r>
    </w:p>
    <w:bookmarkEnd w:id="38"/>
    <w:bookmarkStart w:id="39" w:name="use-phase-scope-3---downstream"/>
    <w:p>
      <w:pPr>
        <w:pStyle w:val="Heading4"/>
      </w:pPr>
      <w:r>
        <w:t xml:space="preserve">4.4. Use Phase (Scope 3 - Downstream)</w:t>
      </w:r>
    </w:p>
    <w:p>
      <w:pPr>
        <w:pStyle w:val="FirstParagraph"/>
      </w:pPr>
      <w:r>
        <w:t xml:space="preserve">Emissions from the use of the product over its expected lifespan, primarily due to electricity consumption.</w:t>
      </w:r>
    </w:p>
    <w:p>
      <w:pPr>
        <w:numPr>
          <w:ilvl w:val="0"/>
          <w:numId w:val="1015"/>
        </w:numPr>
        <w:pStyle w:val="Compact"/>
      </w:pPr>
      <w:r>
        <w:t xml:space="preserve">Product Lifespan: 3 years [cite: nutivwdwhj]</w:t>
      </w:r>
    </w:p>
    <w:p>
      <w:pPr>
        <w:numPr>
          <w:ilvl w:val="0"/>
          <w:numId w:val="1015"/>
        </w:numPr>
        <w:pStyle w:val="Compact"/>
      </w:pPr>
      <w:r>
        <w:t xml:space="preserve">Annual Energy Consumption: 2 kWh/year [cite: ursmfmkuuv]</w:t>
      </w:r>
    </w:p>
    <w:p>
      <w:pPr>
        <w:numPr>
          <w:ilvl w:val="0"/>
          <w:numId w:val="1015"/>
        </w:numPr>
        <w:pStyle w:val="Compact"/>
      </w:pPr>
      <w:r>
        <w:t xml:space="preserve">Total Energy Consumption: 2 kWh/year * 3 years = 6 kWh</w:t>
      </w:r>
    </w:p>
    <w:p>
      <w:pPr>
        <w:numPr>
          <w:ilvl w:val="0"/>
          <w:numId w:val="1015"/>
        </w:numPr>
        <w:pStyle w:val="Compact"/>
      </w:pPr>
      <w:r>
        <w:t xml:space="preserve">Emission Factor (Global Average Grid Mix, 2027 forecast): 0.4 kg CO2e/kWh</w:t>
      </w:r>
    </w:p>
    <w:p>
      <w:pPr>
        <w:numPr>
          <w:ilvl w:val="0"/>
          <w:numId w:val="1015"/>
        </w:numPr>
        <w:pStyle w:val="Compact"/>
      </w:pPr>
      <w:r>
        <w:t xml:space="preserve">Calculated Emissions: 6 kWh * 0.4 kg CO2e/kWh =</w:t>
      </w:r>
      <w:r>
        <w:t xml:space="preserve"> </w:t>
      </w:r>
      <w:r>
        <w:t xml:space="preserve">2.400 kg CO2e</w:t>
      </w:r>
    </w:p>
    <w:bookmarkEnd w:id="39"/>
    <w:bookmarkStart w:id="40" w:name="end-of-life-eol-scope-3---downstream"/>
    <w:p>
      <w:pPr>
        <w:pStyle w:val="Heading4"/>
      </w:pPr>
      <w:r>
        <w:t xml:space="preserve">4.5. End-of-Life (EoL) (Scope 3 - Downstream)</w:t>
      </w:r>
    </w:p>
    <w:p>
      <w:pPr>
        <w:pStyle w:val="FirstParagraph"/>
      </w:pPr>
      <w:r>
        <w:t xml:space="preserve">This stage accounts for emissions from the disposal of non-recycled materials. The significant recyclability percentage reduces the overall EoL impact.</w:t>
      </w:r>
    </w:p>
    <w:p>
      <w:pPr>
        <w:numPr>
          <w:ilvl w:val="0"/>
          <w:numId w:val="1016"/>
        </w:numPr>
        <w:pStyle w:val="Compact"/>
      </w:pPr>
      <w:r>
        <w:t xml:space="preserve">Total Product Mass: 0.48 kg</w:t>
      </w:r>
    </w:p>
    <w:p>
      <w:pPr>
        <w:numPr>
          <w:ilvl w:val="0"/>
          <w:numId w:val="1016"/>
        </w:numPr>
        <w:pStyle w:val="Compact"/>
      </w:pPr>
      <w:r>
        <w:t xml:space="preserve">Non-Recyclable Mass: 0.48 kg * (1 - 0.85) = 0.072 kg</w:t>
      </w:r>
    </w:p>
    <w:p>
      <w:pPr>
        <w:numPr>
          <w:ilvl w:val="0"/>
          <w:numId w:val="1016"/>
        </w:numPr>
        <w:pStyle w:val="Compact"/>
      </w:pPr>
      <w:r>
        <w:t xml:space="preserve">Emission Factor (Landfill/Incineration): 0.5 kg CO2e/kg (generic factor for residual waste)</w:t>
      </w:r>
    </w:p>
    <w:p>
      <w:pPr>
        <w:numPr>
          <w:ilvl w:val="0"/>
          <w:numId w:val="1016"/>
        </w:numPr>
        <w:pStyle w:val="Compact"/>
      </w:pPr>
      <w:r>
        <w:t xml:space="preserve">Calculated Emissions: 0.072 kg * 0.5 kg CO2e/kg =</w:t>
      </w:r>
      <w:r>
        <w:t xml:space="preserve"> </w:t>
      </w:r>
      <w:r>
        <w:t xml:space="preserve">0.036 kg CO2e</w:t>
      </w:r>
    </w:p>
    <w:p>
      <w:pPr>
        <w:pStyle w:val="FirstParagraph"/>
      </w:pPr>
      <w:r>
        <w:rPr>
          <w:iCs/>
          <w:i/>
        </w:rPr>
        <w:t xml:space="preserve">Note: The "Integrated Product Take-Back and Remanufacturing Program" (</w:t>
      </w:r>
      <w:r>
        <w:rPr>
          <w:rStyle w:val="VerbatimChar"/>
          <w:iCs/>
          <w:i/>
        </w:rPr>
        <w:t xml:space="preserve">sdmmqpoxfd</w:t>
      </w:r>
      <w:r>
        <w:rPr>
          <w:iCs/>
          <w:i/>
        </w:rPr>
        <w:t xml:space="preserve">) signifies a circular economy approach, which is crucial for reducing virgin material demand and associated upstream emissions, though direct quantification of avoided emissions is beyond the scope of this baseline PCF.</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Based on the calculations, the primary emission hotspots for Eco-Smart Gadget X are:</w:t>
      </w:r>
    </w:p>
    <w:p>
      <w:pPr>
        <w:numPr>
          <w:ilvl w:val="0"/>
          <w:numId w:val="1017"/>
        </w:numPr>
        <w:pStyle w:val="Compact"/>
      </w:pPr>
      <w:r>
        <w:rPr>
          <w:bCs/>
          <w:b/>
        </w:rPr>
        <w:t xml:space="preserve">Materials Acquisition &amp; Pre-processing (53.1%):</w:t>
      </w:r>
      <w:r>
        <w:t xml:space="preserve"> </w:t>
      </w:r>
      <w:r>
        <w:t xml:space="preserve">This stage accounts for the largest share of the PCF (3.975 kg CO2e), highlighting the significant impact of raw material choices, particularly aluminum and electronic components.</w:t>
      </w:r>
    </w:p>
    <w:p>
      <w:pPr>
        <w:numPr>
          <w:ilvl w:val="0"/>
          <w:numId w:val="1017"/>
        </w:numPr>
        <w:pStyle w:val="Compact"/>
      </w:pPr>
      <w:r>
        <w:rPr>
          <w:bCs/>
          <w:b/>
        </w:rPr>
        <w:t xml:space="preserve">Use Phase (32.1%):</w:t>
      </w:r>
      <w:r>
        <w:t xml:space="preserve"> </w:t>
      </w:r>
      <w:r>
        <w:t xml:space="preserve">The energy consumption during the product\'s 3-year lifespan contributes substantially (2.400 kg CO2e), emphasizing the importance of energy-efficient design and the carbon intensity of the electricity grid where the product is used.</w:t>
      </w:r>
    </w:p>
    <w:p>
      <w:pPr>
        <w:numPr>
          <w:ilvl w:val="0"/>
          <w:numId w:val="1017"/>
        </w:numPr>
        <w:pStyle w:val="Compact"/>
      </w:pPr>
      <w:r>
        <w:rPr>
          <w:bCs/>
          <w:b/>
        </w:rPr>
        <w:t xml:space="preserve">Manufacturing Energy (12.4%):</w:t>
      </w:r>
      <w:r>
        <w:t xml:space="preserve"> </w:t>
      </w:r>
      <w:r>
        <w:t xml:space="preserve">Although 70% renewable energy is used, the remaining 30% from China\'s grid still contributes a noticeable portion (0.931 kg CO2e) to the overall footprint.</w:t>
      </w:r>
    </w:p>
    <w:bookmarkEnd w:id="43"/>
    <w:bookmarkStart w:id="44" w:name="reliability-and-limitations"/>
    <w:p>
      <w:pPr>
        <w:pStyle w:val="Heading3"/>
      </w:pPr>
      <w:r>
        <w:t xml:space="preserve">Reliability and Limitations</w:t>
      </w:r>
    </w:p>
    <w:p>
      <w:pPr>
        <w:pStyle w:val="FirstParagraph"/>
      </w:pPr>
      <w:r>
        <w:t xml:space="preserve">The reliability of this PCF analysis is high due to the adherence to the GHG Protocol and the use of specific, provided parameters. However, certain limitations exist:</w:t>
      </w:r>
    </w:p>
    <w:p>
      <w:pPr>
        <w:numPr>
          <w:ilvl w:val="0"/>
          <w:numId w:val="1018"/>
        </w:numPr>
        <w:pStyle w:val="Compact"/>
      </w:pPr>
      <w:r>
        <w:rPr>
          <w:bCs/>
          <w:b/>
        </w:rPr>
        <w:t xml:space="preserve">Emission Factors:</w:t>
      </w:r>
      <w:r>
        <w:t xml:space="preserve"> </w:t>
      </w:r>
      <w:r>
        <w:t xml:space="preserve">While industry-standard emission factors (e.g., from IEA, DEFRA-equivalent sources) have been used, actual supplier-specific primary data for every process would further enhance accuracy.</w:t>
      </w:r>
    </w:p>
    <w:p>
      <w:pPr>
        <w:numPr>
          <w:ilvl w:val="0"/>
          <w:numId w:val="1018"/>
        </w:numPr>
        <w:pStyle w:val="Compact"/>
      </w:pPr>
      <w:r>
        <w:rPr>
          <w:bCs/>
          <w:b/>
        </w:rPr>
        <w:t xml:space="preserve">Placeholder Data:</w:t>
      </w:r>
      <w:r>
        <w:t xml:space="preserve"> </w:t>
      </w:r>
      <w:r>
        <w:t xml:space="preserve">Several parameters were placeholders (e.g., `ihyszogp`, `tfqhzwwmgg`) requiring realistic assumptions. Any deviation in actual values will impact the final PCF.</w:t>
      </w:r>
    </w:p>
    <w:p>
      <w:pPr>
        <w:numPr>
          <w:ilvl w:val="0"/>
          <w:numId w:val="1018"/>
        </w:numPr>
        <w:pStyle w:val="Compact"/>
      </w:pPr>
      <w:r>
        <w:rPr>
          <w:bCs/>
          <w:b/>
        </w:rPr>
        <w:t xml:space="preserve">Scope 3 Detail:</w:t>
      </w:r>
      <w:r>
        <w:t xml:space="preserve"> </w:t>
      </w:r>
      <w:r>
        <w:t xml:space="preserve">Achieving 95% Scope 3 coverage involves comprehensive data collection across the value chain. While key categories are addressed, granular data for all upstream and downstream processes (e.g., capital goods, business travel) would provide even greater detail.</w:t>
      </w:r>
    </w:p>
    <w:p>
      <w:pPr>
        <w:numPr>
          <w:ilvl w:val="0"/>
          <w:numId w:val="1018"/>
        </w:numPr>
        <w:pStyle w:val="Compact"/>
      </w:pPr>
      <w:r>
        <w:rPr>
          <w:bCs/>
          <w:b/>
        </w:rPr>
        <w:t xml:space="preserve">LSR Standard:</w:t>
      </w:r>
      <w:r>
        <w:t xml:space="preserve"> </w:t>
      </w:r>
      <w:r>
        <w:t xml:space="preserve">The 2026 LSR Standard has been acknowledged, but detailed quantification of land-use change and specific carbon removals requires extensive primary data not available for this high-level assessment.</w:t>
      </w:r>
    </w:p>
    <w:bookmarkEnd w:id="44"/>
    <w:bookmarkStart w:id="45" w:name="recommendations-for-decarbonization"/>
    <w:p>
      <w:pPr>
        <w:pStyle w:val="Heading3"/>
      </w:pPr>
      <w:r>
        <w:t xml:space="preserve">Recommendations for Decarbonization</w:t>
      </w:r>
    </w:p>
    <w:p>
      <w:pPr>
        <w:pStyle w:val="FirstParagraph"/>
      </w:pPr>
      <w:r>
        <w:t xml:space="preserve">To reduce the Product Carbon Footprint of Eco-Smart Gadget X, disphfpews (EcoSolutions Inc.) should consider:</w:t>
      </w:r>
    </w:p>
    <w:p>
      <w:pPr>
        <w:numPr>
          <w:ilvl w:val="0"/>
          <w:numId w:val="1019"/>
        </w:numPr>
        <w:pStyle w:val="Compact"/>
      </w:pPr>
      <w:r>
        <w:rPr>
          <w:bCs/>
          <w:b/>
        </w:rPr>
        <w:t xml:space="preserve">Material Optimization:</w:t>
      </w:r>
      <w:r>
        <w:t xml:space="preserve"> </w:t>
      </w:r>
      <w:r>
        <w:t xml:space="preserve">Explore alternative, lower-carbon materials for the aluminum body and electronic components. Investigate further opportunities for increasing recycled content and designing for disassembly and recycling.</w:t>
      </w:r>
    </w:p>
    <w:p>
      <w:pPr>
        <w:numPr>
          <w:ilvl w:val="0"/>
          <w:numId w:val="1019"/>
        </w:numPr>
        <w:pStyle w:val="Compact"/>
      </w:pPr>
      <w:r>
        <w:rPr>
          <w:bCs/>
          <w:b/>
        </w:rPr>
        <w:t xml:space="preserve">Energy Efficiency in Use:</w:t>
      </w:r>
      <w:r>
        <w:t xml:space="preserve"> </w:t>
      </w:r>
      <w:r>
        <w:t xml:space="preserve">Enhance the energy efficiency of the Eco-Smart Gadget X to reduce its energy consumption during its lifespan. Provide clear guidance to consumers on energy-saving practices.</w:t>
      </w:r>
    </w:p>
    <w:p>
      <w:pPr>
        <w:numPr>
          <w:ilvl w:val="0"/>
          <w:numId w:val="1019"/>
        </w:numPr>
        <w:pStyle w:val="Compact"/>
      </w:pPr>
      <w:r>
        <w:rPr>
          <w:bCs/>
          <w:b/>
        </w:rPr>
        <w:t xml:space="preserve">Renewable Energy Procurement:</w:t>
      </w:r>
      <w:r>
        <w:t xml:space="preserve"> </w:t>
      </w:r>
      <w:r>
        <w:t xml:space="preserve">Continuously increase the share of renewable energy used in manufacturing facilities, and encourage supply chain partners to do the same.</w:t>
      </w:r>
    </w:p>
    <w:p>
      <w:pPr>
        <w:numPr>
          <w:ilvl w:val="0"/>
          <w:numId w:val="1019"/>
        </w:numPr>
        <w:pStyle w:val="Compact"/>
      </w:pPr>
      <w:r>
        <w:rPr>
          <w:bCs/>
          <w:b/>
        </w:rPr>
        <w:t xml:space="preserve">Logistics Optimization:</w:t>
      </w:r>
      <w:r>
        <w:t xml:space="preserve"> </w:t>
      </w:r>
      <w:r>
        <w:t xml:space="preserve">Further optimize transport routes and modes, prioritizing lower-emission options where feasible. Leverage the "Integrated Product Take-Back and Remanufacturing Program" to minimize end-of-life impacts and maximize resource efficiency.</w:t>
      </w:r>
    </w:p>
    <w:p>
      <w:r>
        <w:pict>
          <v:rect style="width:0;height:1.5pt" o:hralign="center" o:hrstd="t" o:hr="t"/>
        </w:pict>
      </w:r>
    </w:p>
    <w:p>
      <w:pPr>
        <w:pStyle w:val="FirstParagraph"/>
      </w:pPr>
      <w:r>
        <w:t xml:space="preserve">Confidential - Internal Use Only</w:t>
      </w:r>
    </w:p>
    <w:p>
      <w:pPr>
        <w:pStyle w:val="BodyText"/>
      </w:pPr>
      <w:r>
        <w:t xml:space="preserve">© 2026 EcoSolutions Inc. All rights reserved.</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Gadget X</dc:title>
  <dc:creator/>
  <dc:description>Detailed Product Carbon Footprint (PCF) analysis for Eco-Smart Gadget X by lmuughsmkx, Senior Sustainability Consultant at EcoSolutions Inc., adhering to GHG Protocol standards and 2026 LSR Update.</dc:description>
  <dc:language>en</dc:language>
  <cp:keywords/>
  <dcterms:created xsi:type="dcterms:W3CDTF">2026-05-30T20:12:33Z</dcterms:created>
  <dcterms:modified xsi:type="dcterms:W3CDTF">2026-05-30T20:12:33Z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