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Gadget</w:t>
      </w:r>
      <w:r>
        <w:t xml:space="preserve"> </w:t>
      </w:r>
      <w:r>
        <w:t xml:space="preserve">X</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Eco-Smart Gadget X (jodwdnvznt)</w:t>
      </w:r>
    </w:p>
    <w:p>
      <w:pPr>
        <w:pStyle w:val="BodyText"/>
      </w:pPr>
      <w:r>
        <w:rPr>
          <w:bCs/>
          <w:b/>
        </w:rPr>
        <w:t xml:space="preserve">Company:</w:t>
      </w:r>
      <w:r>
        <w:t xml:space="preserve"> </w:t>
      </w:r>
      <w:r>
        <w:t xml:space="preserve">GreenTech Solutions Inc. (umpefyqukw)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Dr. Evelyn Green (esjwxwuzor)</w:t>
      </w:r>
    </w:p>
    <w:p>
      <w:pPr>
        <w:pStyle w:val="BodyText"/>
      </w:pPr>
      <w:r>
        <w:t xml:space="preserve">Disclaimer: This report is generated based on available data and industry standards. The accuracy of the analysis is dependent on the completeness and reliability of the provided input parameters and publicly available emission factors. Illustrative values have been used for placeholder data where specific inputs were not provided.</w:t>
      </w:r>
    </w:p>
    <w:bookmarkEnd w:id="20"/>
    <w:p>
      <w:pPr>
        <w:pStyle w:val="BodyText"/>
      </w:pPr>
      <w:r>
        <w:t xml:space="preserve">Product Carbon Footprint Report</w:t>
      </w:r>
      <w:r>
        <w:br/>
      </w:r>
      <w:r>
        <w:t xml:space="preserve">Generated Date: May 26, 2026</w:t>
      </w:r>
    </w:p>
    <w:bookmarkStart w:id="49" w:name="X3e27019e37e8a9dcc1575cf87ab28a38546177f"/>
    <w:p>
      <w:pPr>
        <w:pStyle w:val="Heading1"/>
      </w:pPr>
      <w:r>
        <w:t xml:space="preserve">Product Carbon Footprint Analysis for Eco-Smart Gadget X</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Eco-Smart Gadget X, manufactured by GreenTech Solutions Inc. The analysis adheres strictly to the Greenhouse Gas (GHG) Protocol standards, including the latest 2026 updates for Land Sector and Removals (LSR), and aims for at least 95% coverage for Scope 3 emissions. The total carbon footprint of one functional unit of Eco-Smart Gadget X is calculated across its lifecycle, from material acquisition to end-of-life, identifying key emission hotspots and providing a basis for targeted sustainability improvements.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This document details the Product Carbon Footprint (PCF) for the product identified as \'jodwdnvznt\', referred to as "Eco-Smart Gadget X," for the company "GreenTech Solutions Inc. (umpefyqukw)". The analysis has been conducted by Senior Sustainability Consultant "Dr. Evelyn Green (esjwxwuzor)", specializing in the GHG Protocol. The primary objective is to quantify the greenhouse gas (GHG) emissions associated with the product\'s entire lifecycle, in alignment with international best practices for environmental reporting.</w:t>
      </w:r>
    </w:p>
    <w:p>
      <w:pPr>
        <w:pStyle w:val="BodyText"/>
      </w:pPr>
      <w:r>
        <w:t xml:space="preserve">The accounting standard applied for this analysis is the GHG Protocol. This includes categorization of emissions into Scope 1 (direct emissions), Scope 2 (purchased energy emissions), and Scope 3 (value chain emissions). Furthermore, the analysis considers the 2026 Land Sector and Removals (LSR) Standard update, which provides methodologies for accounting for land-related emissions and carbon removals. We also ensure robust Scope 3 compliance, aiming for at least 95% coverage as per 2026 requirements, recognizing the significant impact of value chain activities on a product\'s overall footprint.</w:t>
      </w:r>
    </w:p>
    <w:p>
      <w:r>
        <w:pict>
          <v:rect style="width:0;height:1.5pt" o:hralign="center" o:hrstd="t" o:hr="t"/>
        </w:pict>
      </w:r>
    </w:p>
    <w:bookmarkEnd w:id="22"/>
    <w:bookmarkStart w:id="27" w:name="scope-definition"/>
    <w:p>
      <w:pPr>
        <w:pStyle w:val="Heading2"/>
      </w:pPr>
      <w:r>
        <w:t xml:space="preserve">2. Scope Definition</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Eco-Smart Gadget X</w:t>
      </w:r>
      <w:r>
        <w:t xml:space="preserve">.</w:t>
      </w:r>
    </w:p>
    <w:bookmarkEnd w:id="23"/>
    <w:bookmarkStart w:id="24" w:name="system-boundary"/>
    <w:p>
      <w:pPr>
        <w:pStyle w:val="Heading3"/>
      </w:pPr>
      <w:r>
        <w:t xml:space="preserve">2.2. System Boundary</w:t>
      </w:r>
    </w:p>
    <w:p>
      <w:pPr>
        <w:pStyle w:val="FirstParagraph"/>
      </w:pPr>
      <w:r>
        <w:t xml:space="preserve">The system boundary for this assessment is</w:t>
      </w:r>
      <w:r>
        <w:t xml:space="preserve"> </w:t>
      </w:r>
      <w:r>
        <w:rPr>
          <w:bCs/>
          <w:b/>
        </w:rPr>
        <w:t xml:space="preserve">"factory_gate"</w:t>
      </w:r>
      <w:r>
        <w:t xml:space="preserve">, extending to a cradle-to-grave perspective. This includes raw material extraction and processing, manufacturing, distribution (upstream and downstream), the use phase, and end-of-life treatment. Emissions directly occurring at the GreenTech Solutions Inc. production facility are considered within Scope 1 and Scope 2, while emissions throughout the value chain fall under Scope 3.</w:t>
      </w:r>
    </w:p>
    <w:bookmarkEnd w:id="24"/>
    <w:bookmarkStart w:id="25" w:name="geographic-scope"/>
    <w:p>
      <w:pPr>
        <w:pStyle w:val="Heading3"/>
      </w:pPr>
      <w:r>
        <w:t xml:space="preserve">2.3.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Emission factors and energy grid mixes are selected to reflect these geographical considerations where specific data is available. For the use phase, a global average or a typical market for consumption is assumed if specific market data is not provided.</w:t>
      </w:r>
    </w:p>
    <w:bookmarkEnd w:id="25"/>
    <w:bookmarkStart w:id="26" w:name="allocation"/>
    <w:p>
      <w:pPr>
        <w:pStyle w:val="Heading3"/>
      </w:pPr>
      <w:r>
        <w:t xml:space="preserve">2.4. Allocation</w:t>
      </w:r>
    </w:p>
    <w:p>
      <w:pPr>
        <w:pStyle w:val="FirstParagraph"/>
      </w:pPr>
      <w:r>
        <w:t xml:space="preserve">Emissions are allocated to the functional unit based on mass and direct attribution where possible. For shared processes or infrastructure, appropriate allocation keys (e.g., mass, economic value) are applied to attribute emissions to the Eco-Smart Gadget X. Co-product allocation has been considered where relevant to avoid double-counting or omissions.</w:t>
      </w:r>
    </w:p>
    <w:p>
      <w:r>
        <w:pict>
          <v:rect style="width:0;height:1.5pt" o:hralign="center" o:hrstd="t" o:hr="t"/>
        </w:pict>
      </w:r>
    </w:p>
    <w:bookmarkEnd w:id="26"/>
    <w:bookmarkEnd w:id="27"/>
    <w:bookmarkStart w:id="33" w:name="lifecycle-mapping-data-collection"/>
    <w:p>
      <w:pPr>
        <w:pStyle w:val="Heading2"/>
      </w:pPr>
      <w:r>
        <w:t xml:space="preserve">3. Lifecycle Mapping &amp; Data Collection</w:t>
      </w:r>
    </w:p>
    <w:p>
      <w:pPr>
        <w:pStyle w:val="FirstParagraph"/>
      </w:pPr>
      <w:r>
        <w:t xml:space="preserve">The lifecycle of the Eco-Smart Gadget X is mapped into five primary stages: Material Acquisition &amp; Pre-processing, Production, Transportation (Upstream &amp; Downstream), Use Phase, and End-of-Life. Data for these stages are collected from a combination of primary (provided parameters) and secondary (industry-standard emission factors like Ecoinvent/DEFRA) sources.</w:t>
      </w:r>
    </w:p>
    <w:bookmarkStart w:id="28" w:name="X3a7500e37a7ec78b17dbdf771c3daf39c9b64e5"/>
    <w:p>
      <w:pPr>
        <w:pStyle w:val="Heading3"/>
      </w:pPr>
      <w:r>
        <w:t xml:space="preserve">3.1. Detailed Bill of Materials (BOM) - sndzgxkd (Hypothetical Data for Illustration)</w:t>
      </w:r>
    </w:p>
    <w:p>
      <w:pPr>
        <w:pStyle w:val="FirstParagraph"/>
      </w:pPr>
      <w:r>
        <w:t xml:space="preserve">The following Bill of Materials (BOM) data, provided as \'sndzgxkd\', has been used for high-accuracy material impact calculation. The \'Total Carbon\' values represent the cradle-to-gate emissions for each material component based on the specified quantity and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or 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MAT003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30.00</w:t>
            </w:r>
          </w:p>
        </w:tc>
        <w:tc>
          <w:tcPr/>
          <w:p>
            <w:pPr>
              <w:pStyle w:val="Compact"/>
              <w:jc w:val="left"/>
            </w:pPr>
            <w:r>
              <w:t xml:space="preserve">1.500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25.00</w:t>
            </w:r>
          </w:p>
        </w:tc>
        <w:tc>
          <w:tcPr/>
          <w:p>
            <w:pPr>
              <w:pStyle w:val="Compact"/>
              <w:jc w:val="left"/>
            </w:pPr>
            <w:r>
              <w:t xml:space="preserve">2.000</w:t>
            </w:r>
          </w:p>
        </w:tc>
      </w:tr>
      <w:tr>
        <w:tc>
          <w:tcPr/>
          <w:p>
            <w:pPr>
              <w:pStyle w:val="Compact"/>
              <w:jc w:val="left"/>
            </w:pPr>
            <w:r>
              <w:t xml:space="preserve">MAT005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MAT006</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0.050</w:t>
            </w:r>
          </w:p>
        </w:tc>
      </w:tr>
      <w:tr>
        <w:tc>
          <w:tcPr>
            <w:gridSpan w:val="4"/>
          </w:tcPr>
          <w:p>
            <w:pPr>
              <w:pStyle w:val="Compact"/>
              <w:jc w:val="left"/>
            </w:pPr>
            <w:r>
              <w:rPr>
                <w:bCs/>
                <w:b/>
              </w:rPr>
              <w:t xml:space="preserve">Total Product Weight:</w:t>
            </w:r>
          </w:p>
        </w:tc>
        <w:tc>
          <w:tcPr/>
          <w:p>
            <w:pPr>
              <w:pStyle w:val="Compact"/>
              <w:jc w:val="left"/>
            </w:pPr>
            <w:r>
              <w:rPr>
                <w:bCs/>
                <w:b/>
              </w:rPr>
              <w:t xml:space="preserve">0.60 kg</w:t>
            </w:r>
          </w:p>
        </w:tc>
        <w:tc>
          <w:tcPr/>
          <w:p>
            <w:pPr>
              <w:pStyle w:val="Compact"/>
            </w:pPr>
          </w:p>
        </w:tc>
        <w:tc>
          <w:tcPr/>
          <w:p>
            <w:pPr>
              <w:pStyle w:val="Compact"/>
            </w:pPr>
          </w:p>
        </w:tc>
        <w:tc>
          <w:tcPr/>
          <w:p>
            <w:pPr>
              <w:pStyle w:val="Compact"/>
            </w:pPr>
          </w:p>
        </w:tc>
      </w:tr>
    </w:tbl>
    <w:p>
      <w:pPr>
        <w:pStyle w:val="BodyText"/>
      </w:pPr>
      <w:r>
        <w:rPr>
          <w:iCs/>
          <w:i/>
        </w:rPr>
        <w:t xml:space="preserve">Note: The above BOM data for \'sndzgxkd\' is hypothetical, generated to illustrate the report\'s methodology given the placeholder input.</w:t>
      </w:r>
    </w:p>
    <w:bookmarkEnd w:id="28"/>
    <w:bookmarkStart w:id="29" w:name="energy-inputs-production-phase"/>
    <w:p>
      <w:pPr>
        <w:pStyle w:val="Heading3"/>
      </w:pPr>
      <w:r>
        <w:t xml:space="preserve">3.2. Energy Inputs (Production Phase)</w:t>
      </w:r>
    </w:p>
    <w:p>
      <w:pPr>
        <w:numPr>
          <w:ilvl w:val="0"/>
          <w:numId w:val="1001"/>
        </w:numPr>
        <w:pStyle w:val="Compact"/>
      </w:pPr>
      <w:r>
        <w:t xml:space="preserve">Renewable Energy Usage: llndofrody (60%)</w:t>
      </w:r>
    </w:p>
    <w:p>
      <w:pPr>
        <w:numPr>
          <w:ilvl w:val="0"/>
          <w:numId w:val="1001"/>
        </w:numPr>
        <w:pStyle w:val="Compact"/>
      </w:pPr>
      <w:r>
        <w:t xml:space="preserve">Energy Intensity (kWh/unit): pdmetqfehl (5 kWh/unit)</w:t>
      </w:r>
    </w:p>
    <w:bookmarkEnd w:id="29"/>
    <w:bookmarkStart w:id="30" w:name="logistics-data"/>
    <w:p>
      <w:pPr>
        <w:pStyle w:val="Heading3"/>
      </w:pPr>
      <w:r>
        <w:t xml:space="preserve">3.3. Logistics Data</w:t>
      </w:r>
    </w:p>
    <w:p>
      <w:pPr>
        <w:numPr>
          <w:ilvl w:val="0"/>
          <w:numId w:val="1002"/>
        </w:numPr>
        <w:pStyle w:val="Compact"/>
      </w:pPr>
      <w:r>
        <w:t xml:space="preserve">Upstream Transport Mode: Select Mode (Ocean Freight)</w:t>
      </w:r>
    </w:p>
    <w:p>
      <w:pPr>
        <w:numPr>
          <w:ilvl w:val="0"/>
          <w:numId w:val="1002"/>
        </w:numPr>
        <w:pStyle w:val="Compact"/>
      </w:pPr>
      <w:r>
        <w:t xml:space="preserve">Upstream Transport Distance: xdmfuqlyhm (10,000 km, assuming from Europe to China)</w:t>
      </w:r>
    </w:p>
    <w:p>
      <w:pPr>
        <w:numPr>
          <w:ilvl w:val="0"/>
          <w:numId w:val="1002"/>
        </w:numPr>
        <w:pStyle w:val="Compact"/>
      </w:pPr>
      <w:r>
        <w:t xml:space="preserve">Last-Mile Delivery Channel: Delivery Type (Courier Van)</w:t>
      </w:r>
    </w:p>
    <w:p>
      <w:pPr>
        <w:numPr>
          <w:ilvl w:val="0"/>
          <w:numId w:val="1002"/>
        </w:numPr>
        <w:pStyle w:val="Compact"/>
      </w:pPr>
      <w:r>
        <w:t xml:space="preserve">Last-Mile Transport Distance: xdmfuqlyhm (100 km, hypothetical)</w:t>
      </w:r>
    </w:p>
    <w:bookmarkEnd w:id="30"/>
    <w:bookmarkStart w:id="31" w:name="use-phase-data"/>
    <w:p>
      <w:pPr>
        <w:pStyle w:val="Heading3"/>
      </w:pPr>
      <w:r>
        <w:t xml:space="preserve">3.4. Use Phase Data</w:t>
      </w:r>
    </w:p>
    <w:p>
      <w:pPr>
        <w:numPr>
          <w:ilvl w:val="0"/>
          <w:numId w:val="1003"/>
        </w:numPr>
        <w:pStyle w:val="Compact"/>
      </w:pPr>
      <w:r>
        <w:t xml:space="preserve">Product Lifespan: wttwrkjhti (3 years)</w:t>
      </w:r>
    </w:p>
    <w:p>
      <w:pPr>
        <w:numPr>
          <w:ilvl w:val="0"/>
          <w:numId w:val="1003"/>
        </w:numPr>
        <w:pStyle w:val="Compact"/>
      </w:pPr>
      <w:r>
        <w:t xml:space="preserve">Energy Consumption in Use: wqzpvppnwd (10 kWh/year)</w:t>
      </w:r>
    </w:p>
    <w:bookmarkEnd w:id="31"/>
    <w:bookmarkStart w:id="32" w:name="end-of-life-eol-data"/>
    <w:p>
      <w:pPr>
        <w:pStyle w:val="Heading3"/>
      </w:pPr>
      <w:r>
        <w:t xml:space="preserve">3.5. End-of-Life (EoL) Data</w:t>
      </w:r>
    </w:p>
    <w:p>
      <w:pPr>
        <w:numPr>
          <w:ilvl w:val="0"/>
          <w:numId w:val="1004"/>
        </w:numPr>
        <w:pStyle w:val="Compact"/>
      </w:pPr>
      <w:r>
        <w:t xml:space="preserve">Recyclability Percentage: dzfuxmqoom (80%)</w:t>
      </w:r>
    </w:p>
    <w:p>
      <w:pPr>
        <w:numPr>
          <w:ilvl w:val="0"/>
          <w:numId w:val="1004"/>
        </w:numPr>
        <w:pStyle w:val="Compact"/>
      </w:pPr>
      <w:r>
        <w:t xml:space="preserve">Circular/Take-back Programs: vksxgmilwm (Yes, comprehensive product take-back and recycling program.)</w:t>
      </w:r>
    </w:p>
    <w:p>
      <w:r>
        <w:pict>
          <v:rect style="width:0;height:1.5pt" o:hralign="center" o:hrstd="t" o:hr="t"/>
        </w:pict>
      </w:r>
    </w:p>
    <w:bookmarkEnd w:id="32"/>
    <w:bookmarkEnd w:id="33"/>
    <w:bookmarkStart w:id="44" w:name="emission-calculation-ghg-protocol-scopes"/>
    <w:p>
      <w:pPr>
        <w:pStyle w:val="Heading2"/>
      </w:pPr>
      <w:r>
        <w:t xml:space="preserve">4. Emission Calculation (GHG Protocol Scopes)</w:t>
      </w:r>
    </w:p>
    <w:p>
      <w:pPr>
        <w:pStyle w:val="FirstParagraph"/>
      </w:pPr>
      <w:r>
        <w:t xml:space="preserve">Emissions are calculated using the activity data collected and appropriate industry-standard emission factors. All emissions are expressed in kilograms of CO2 equivalent (kgCO2e).</w:t>
      </w:r>
    </w:p>
    <w:bookmarkStart w:id="34" w:name="scope-1-direct-emissions"/>
    <w:p>
      <w:pPr>
        <w:pStyle w:val="Heading3"/>
      </w:pPr>
      <w:r>
        <w:t xml:space="preserve">4.1. Scope 1: Direct Emissions</w:t>
      </w:r>
    </w:p>
    <w:p>
      <w:pPr>
        <w:pStyle w:val="FirstParagraph"/>
      </w:pPr>
      <w:r>
        <w:t xml:space="preserve">For the Eco-Smart Gadget X within a \'factory_gate\' system boundary, Scope 1 emissions primarily relate to direct GHG emissions from sources owned or controlled by GreenTech Solutions Inc. (umpefyqukw) at the production facility. Given the provided parameters, specific on-site fuel combustion data is not available. Therefore, direct manufacturing process emissions, if not covered by material-specific EFs in the BOM, are considered negligible or already embedded in the Scope 3, Category 1 material footprints. If significant on-site combustion were present, it would be quantified here.</w:t>
      </w:r>
    </w:p>
    <w:p>
      <w:pPr>
        <w:numPr>
          <w:ilvl w:val="0"/>
          <w:numId w:val="1005"/>
        </w:numPr>
        <w:pStyle w:val="Compact"/>
      </w:pPr>
      <w:r>
        <w:rPr>
          <w:bCs/>
          <w:b/>
        </w:rPr>
        <w:t xml:space="preserve">Estimated Scope 1 Emissions:</w:t>
      </w:r>
      <w:r>
        <w:t xml:space="preserve"> </w:t>
      </w:r>
      <w:r>
        <w:t xml:space="preserve">0.00 kgCO2e/unit (assumed negligible/embedded due to data limitations within \'factory_gate\' boundary).</w:t>
      </w:r>
    </w:p>
    <w:bookmarkEnd w:id="34"/>
    <w:bookmarkStart w:id="35" w:name="Xe578209a49eabfde2edaf977ad2b592c314c527"/>
    <w:p>
      <w:pPr>
        <w:pStyle w:val="Heading3"/>
      </w:pPr>
      <w:r>
        <w:t xml:space="preserve">4.2. Scope 2: Energy Indirect Emissions (Purchased Electricity)</w:t>
      </w:r>
    </w:p>
    <w:p>
      <w:pPr>
        <w:pStyle w:val="FirstParagraph"/>
      </w:pPr>
      <w:r>
        <w:t xml:space="preserve">Scope 2 emissions account for GHG emissions from the generation of purchased or acquired electricity, steam, heating, or cooling consumed by GreenTech Solutions Inc. (umpefyqukw).</w:t>
      </w:r>
    </w:p>
    <w:p>
      <w:pPr>
        <w:numPr>
          <w:ilvl w:val="0"/>
          <w:numId w:val="1006"/>
        </w:numPr>
        <w:pStyle w:val="Compact"/>
      </w:pPr>
      <w:r>
        <w:t xml:space="preserve">Total Energy Intensity for Production: 5 kWh/unit [cite: pdmetqfehl]</w:t>
      </w:r>
    </w:p>
    <w:p>
      <w:pPr>
        <w:numPr>
          <w:ilvl w:val="0"/>
          <w:numId w:val="1006"/>
        </w:numPr>
        <w:pStyle w:val="Compact"/>
      </w:pPr>
      <w:r>
        <w:t xml:space="preserve">Renewable Energy Usage: 60% [cite: llndofrody]</w:t>
      </w:r>
    </w:p>
    <w:p>
      <w:pPr>
        <w:numPr>
          <w:ilvl w:val="0"/>
          <w:numId w:val="1006"/>
        </w:numPr>
        <w:pStyle w:val="Compact"/>
      </w:pPr>
      <w:r>
        <w:t xml:space="preserve">Non-Renewable Electricity Usage: 5 kWh/unit * (1 - 0.60) = 2 kWh/unit</w:t>
      </w:r>
    </w:p>
    <w:p>
      <w:pPr>
        <w:numPr>
          <w:ilvl w:val="0"/>
          <w:numId w:val="1006"/>
        </w:numPr>
        <w:pStyle w:val="Compact"/>
      </w:pPr>
      <w:r>
        <w:t xml:space="preserve">Emission Factor for China\'s Electricity Grid (2023): 0.581 kgCO2e/kWh</w:t>
      </w:r>
    </w:p>
    <w:p>
      <w:pPr>
        <w:numPr>
          <w:ilvl w:val="0"/>
          <w:numId w:val="1006"/>
        </w:numPr>
        <w:pStyle w:val="Compact"/>
      </w:pPr>
      <w:r>
        <w:rPr>
          <w:bCs/>
          <w:b/>
        </w:rPr>
        <w:t xml:space="preserve">Calculation:</w:t>
      </w:r>
      <w:r>
        <w:t xml:space="preserve"> </w:t>
      </w:r>
      <w:r>
        <w:t xml:space="preserve">2 kWh/unit * 0.581 kgCO2e/kWh = 1.162 kgCO2e/unit</w:t>
      </w:r>
    </w:p>
    <w:p>
      <w:pPr>
        <w:numPr>
          <w:ilvl w:val="0"/>
          <w:numId w:val="1006"/>
        </w:numPr>
        <w:pStyle w:val="Compact"/>
      </w:pPr>
      <w:r>
        <w:rPr>
          <w:bCs/>
          <w:b/>
        </w:rPr>
        <w:t xml:space="preserve">Estimated Scope 2 Emissions:</w:t>
      </w:r>
      <w:r>
        <w:t xml:space="preserve"> </w:t>
      </w:r>
      <w:r>
        <w:t xml:space="preserve">1.162 kgCO2e/unit</w:t>
      </w:r>
    </w:p>
    <w:bookmarkEnd w:id="35"/>
    <w:bookmarkStart w:id="41" w:name="Xd1c2b652bc5876514f180a21f002993b8de8e83"/>
    <w:p>
      <w:pPr>
        <w:pStyle w:val="Heading3"/>
      </w:pPr>
      <w:r>
        <w:t xml:space="preserve">4.3. Scope 3: Other Indirect Emissions (Value Chain)</w:t>
      </w:r>
    </w:p>
    <w:p>
      <w:pPr>
        <w:pStyle w:val="FirstParagraph"/>
      </w:pPr>
      <w:r>
        <w:t xml:space="preserve">Scope 3 emissions cover all other indirect emissions that occur in the value chain of GreenTech Solutions Inc. (umpefyqukw), both upstream and downstream. This analysis aims for robust coverage exceeding 95% of typical Scope 3 categories for product PCFs.</w:t>
      </w:r>
    </w:p>
    <w:bookmarkStart w:id="36" w:name="Xab9729a0caae076ca89f2f71668734f92723cf2"/>
    <w:p>
      <w:pPr>
        <w:pStyle w:val="Heading4"/>
      </w:pPr>
      <w:r>
        <w:t xml:space="preserve">4.3.1. Category 1: Purchased Goods and Services (Materials)</w:t>
      </w:r>
    </w:p>
    <w:p>
      <w:pPr>
        <w:pStyle w:val="FirstParagraph"/>
      </w:pPr>
      <w:r>
        <w:t xml:space="preserve">This category includes emissions from the extraction, production, and transportation of raw materials and components used in the Eco-Smart Gadget X. The \'Total Carbon\' values from the provided hypothetical BOM (\'sndzgxkd\') are directly used for this calculation, representing cradle-to-gate emissions for each material.</w:t>
      </w:r>
    </w:p>
    <w:p>
      <w:pPr>
        <w:numPr>
          <w:ilvl w:val="0"/>
          <w:numId w:val="1007"/>
        </w:numPr>
        <w:pStyle w:val="Compact"/>
      </w:pPr>
      <w:r>
        <w:t xml:space="preserve">Total Emissions from Materials (sum of \'Total Carbon\' in BOM): 2.954 (Aluminium) + 0.375 (ABS Plastic) + 1.500 (Circuit Board) + 2.000 (Battery) + 0.080 (Copper) + 0.050 (Cardboard) = 6.959 kgCO2e/unit</w:t>
      </w:r>
    </w:p>
    <w:p>
      <w:pPr>
        <w:numPr>
          <w:ilvl w:val="0"/>
          <w:numId w:val="1007"/>
        </w:numPr>
        <w:pStyle w:val="Compact"/>
      </w:pPr>
      <w:r>
        <w:rPr>
          <w:bCs/>
          <w:b/>
        </w:rPr>
        <w:t xml:space="preserve">Estimated Scope 3, Category 1 Emissions:</w:t>
      </w:r>
      <w:r>
        <w:t xml:space="preserve"> </w:t>
      </w:r>
      <w:r>
        <w:t xml:space="preserve">6.959 kgCO2e/unit</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from suppliers to the production facility in China (Europe-focused supply chain).</w:t>
      </w:r>
    </w:p>
    <w:p>
      <w:pPr>
        <w:numPr>
          <w:ilvl w:val="0"/>
          <w:numId w:val="1008"/>
        </w:numPr>
        <w:pStyle w:val="Compact"/>
      </w:pPr>
      <w:r>
        <w:t xml:space="preserve">Total Product Weight (approximate for raw materials): 0.60 kg = 0.0006 tonnes</w:t>
      </w:r>
    </w:p>
    <w:p>
      <w:pPr>
        <w:numPr>
          <w:ilvl w:val="0"/>
          <w:numId w:val="1008"/>
        </w:numPr>
        <w:pStyle w:val="Compact"/>
      </w:pPr>
      <w:r>
        <w:t xml:space="preserve">Upstream Transport Mode: Ocean Freight [cite: Select Mode]</w:t>
      </w:r>
    </w:p>
    <w:p>
      <w:pPr>
        <w:numPr>
          <w:ilvl w:val="0"/>
          <w:numId w:val="1008"/>
        </w:numPr>
        <w:pStyle w:val="Compact"/>
      </w:pPr>
      <w:r>
        <w:t xml:space="preserve">Upstream Transport Distance: 10,000 km [cite: xdmfuqlyhm]</w:t>
      </w:r>
    </w:p>
    <w:p>
      <w:pPr>
        <w:numPr>
          <w:ilvl w:val="0"/>
          <w:numId w:val="1008"/>
        </w:numPr>
        <w:pStyle w:val="Compact"/>
      </w:pPr>
      <w:r>
        <w:t xml:space="preserve">Emission Factor for Ocean Freight (Container Ship, DEFRA/DESNZ 2025): 0.016 kgCO2e/tkm</w:t>
      </w:r>
    </w:p>
    <w:p>
      <w:pPr>
        <w:numPr>
          <w:ilvl w:val="0"/>
          <w:numId w:val="1008"/>
        </w:numPr>
        <w:pStyle w:val="Compact"/>
      </w:pPr>
      <w:r>
        <w:rPr>
          <w:bCs/>
          <w:b/>
        </w:rPr>
        <w:t xml:space="preserve">Calculation:</w:t>
      </w:r>
      <w:r>
        <w:t xml:space="preserve"> </w:t>
      </w:r>
      <w:r>
        <w:t xml:space="preserve">0.0006 tonnes * 10,000 km * 0.016 kgCO2e/tkm = 0.096 kgCO2e/unit</w:t>
      </w:r>
    </w:p>
    <w:p>
      <w:pPr>
        <w:numPr>
          <w:ilvl w:val="0"/>
          <w:numId w:val="1008"/>
        </w:numPr>
        <w:pStyle w:val="Compact"/>
      </w:pPr>
      <w:r>
        <w:rPr>
          <w:bCs/>
          <w:b/>
        </w:rPr>
        <w:t xml:space="preserve">Estimated Scope 3, Category 4 Emissions:</w:t>
      </w:r>
      <w:r>
        <w:t xml:space="preserve"> </w:t>
      </w:r>
      <w:r>
        <w:t xml:space="preserve">0.096 kgCO2e/unit</w:t>
      </w:r>
    </w:p>
    <w:bookmarkEnd w:id="37"/>
    <w:bookmarkStart w:id="38" w:name="Xe6a609cc71639c4bb5b5bcd247c776c9d89fa33"/>
    <w:p>
      <w:pPr>
        <w:pStyle w:val="Heading4"/>
      </w:pPr>
      <w:r>
        <w:t xml:space="preserve">4.3.3. Category 9: Downstream Transportation and Distribution (Last-Mile Delivery)</w:t>
      </w:r>
    </w:p>
    <w:p>
      <w:pPr>
        <w:pStyle w:val="FirstParagraph"/>
      </w:pPr>
      <w:r>
        <w:t xml:space="preserve">Emissions from the last-mile delivery of the finished Eco-Smart Gadget X to the end-consumer.</w:t>
      </w:r>
    </w:p>
    <w:p>
      <w:pPr>
        <w:numPr>
          <w:ilvl w:val="0"/>
          <w:numId w:val="1009"/>
        </w:numPr>
        <w:pStyle w:val="Compact"/>
      </w:pPr>
      <w:r>
        <w:t xml:space="preserve">Total Product Weight: 0.60 kg = 0.0006 tonnes</w:t>
      </w:r>
    </w:p>
    <w:p>
      <w:pPr>
        <w:numPr>
          <w:ilvl w:val="0"/>
          <w:numId w:val="1009"/>
        </w:numPr>
        <w:pStyle w:val="Compact"/>
      </w:pPr>
      <w:r>
        <w:t xml:space="preserve">Last-Mile Delivery Channel: Courier Van [cite: Delivery Type]</w:t>
      </w:r>
    </w:p>
    <w:p>
      <w:pPr>
        <w:numPr>
          <w:ilvl w:val="0"/>
          <w:numId w:val="1009"/>
        </w:numPr>
        <w:pStyle w:val="Compact"/>
      </w:pPr>
      <w:r>
        <w:t xml:space="preserve">Last-Mile Transport Distance: 100 km [cite: xdmfuqlyhm]</w:t>
      </w:r>
    </w:p>
    <w:p>
      <w:pPr>
        <w:numPr>
          <w:ilvl w:val="0"/>
          <w:numId w:val="1009"/>
        </w:numPr>
        <w:pStyle w:val="Compact"/>
      </w:pPr>
      <w:r>
        <w:t xml:space="preserve">Emission Factor for Road Freight (Diesel Truck/Van): 0.062 kgCO2e/tkm</w:t>
      </w:r>
    </w:p>
    <w:p>
      <w:pPr>
        <w:numPr>
          <w:ilvl w:val="0"/>
          <w:numId w:val="1009"/>
        </w:numPr>
        <w:pStyle w:val="Compact"/>
      </w:pPr>
      <w:r>
        <w:rPr>
          <w:bCs/>
          <w:b/>
        </w:rPr>
        <w:t xml:space="preserve">Calculation:</w:t>
      </w:r>
      <w:r>
        <w:t xml:space="preserve"> </w:t>
      </w:r>
      <w:r>
        <w:t xml:space="preserve">0.0006 tonnes * 100 km * 0.062 kgCO2e/tkm = 0.00372 kgCO2e/unit</w:t>
      </w:r>
    </w:p>
    <w:p>
      <w:pPr>
        <w:numPr>
          <w:ilvl w:val="0"/>
          <w:numId w:val="1009"/>
        </w:numPr>
        <w:pStyle w:val="Compact"/>
      </w:pPr>
      <w:r>
        <w:rPr>
          <w:bCs/>
          <w:b/>
        </w:rPr>
        <w:t xml:space="preserve">Estimated Scope 3, Category 9 Emissions:</w:t>
      </w:r>
      <w:r>
        <w:t xml:space="preserve"> </w:t>
      </w:r>
      <w:r>
        <w:t xml:space="preserve">0.00372 kgCO2e/unit</w:t>
      </w:r>
    </w:p>
    <w:bookmarkEnd w:id="38"/>
    <w:bookmarkStart w:id="39" w:name="category-11-use-of-sold-products"/>
    <w:p>
      <w:pPr>
        <w:pStyle w:val="Heading4"/>
      </w:pPr>
      <w:r>
        <w:t xml:space="preserve">4.3.4. Category 11: Use of Sold Products</w:t>
      </w:r>
    </w:p>
    <w:p>
      <w:pPr>
        <w:pStyle w:val="FirstParagraph"/>
      </w:pPr>
      <w:r>
        <w:t xml:space="preserve">Emissions from the energy consumption during the product\'s lifespan.</w:t>
      </w:r>
    </w:p>
    <w:p>
      <w:pPr>
        <w:numPr>
          <w:ilvl w:val="0"/>
          <w:numId w:val="1010"/>
        </w:numPr>
        <w:pStyle w:val="Compact"/>
      </w:pPr>
      <w:r>
        <w:t xml:space="preserve">Product Lifespan: 3 years [cite: wttwrkjhti]</w:t>
      </w:r>
    </w:p>
    <w:p>
      <w:pPr>
        <w:numPr>
          <w:ilvl w:val="0"/>
          <w:numId w:val="1010"/>
        </w:numPr>
        <w:pStyle w:val="Compact"/>
      </w:pPr>
      <w:r>
        <w:t xml:space="preserve">Energy Consumption in Use: 10 kWh/year [cite: wqzpvppnwd]</w:t>
      </w:r>
    </w:p>
    <w:p>
      <w:pPr>
        <w:numPr>
          <w:ilvl w:val="0"/>
          <w:numId w:val="1010"/>
        </w:numPr>
        <w:pStyle w:val="Compact"/>
      </w:pPr>
      <w:r>
        <w:t xml:space="preserve">Total Energy Consumption over Lifespan: 10 kWh/year * 3 years = 30 kWh/unit</w:t>
      </w:r>
    </w:p>
    <w:p>
      <w:pPr>
        <w:numPr>
          <w:ilvl w:val="0"/>
          <w:numId w:val="1010"/>
        </w:numPr>
        <w:pStyle w:val="Compact"/>
      </w:pPr>
      <w:r>
        <w:t xml:space="preserve">Emission Factor for Electricity (assuming use in China or comparable grid): 0.581 kgCO2e/kWh</w:t>
      </w:r>
    </w:p>
    <w:p>
      <w:pPr>
        <w:numPr>
          <w:ilvl w:val="0"/>
          <w:numId w:val="1010"/>
        </w:numPr>
        <w:pStyle w:val="Compact"/>
      </w:pPr>
      <w:r>
        <w:rPr>
          <w:bCs/>
          <w:b/>
        </w:rPr>
        <w:t xml:space="preserve">Calculation:</w:t>
      </w:r>
      <w:r>
        <w:t xml:space="preserve"> </w:t>
      </w:r>
      <w:r>
        <w:t xml:space="preserve">30 kWh/unit * 0.581 kgCO2e/kWh = 17.43 kgCO2e/unit</w:t>
      </w:r>
    </w:p>
    <w:p>
      <w:pPr>
        <w:numPr>
          <w:ilvl w:val="0"/>
          <w:numId w:val="1010"/>
        </w:numPr>
        <w:pStyle w:val="Compact"/>
      </w:pPr>
      <w:r>
        <w:rPr>
          <w:bCs/>
          <w:b/>
        </w:rPr>
        <w:t xml:space="preserve">Estimated Scope 3, Category 11 Emissions:</w:t>
      </w:r>
      <w:r>
        <w:t xml:space="preserve"> </w:t>
      </w:r>
      <w:r>
        <w:t xml:space="preserve">17.43 kgCO2e/unit</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and avoided emissions associated with the disposal and recycling of the product at the end of its life, considering circular economy impacts.</w:t>
      </w:r>
    </w:p>
    <w:p>
      <w:pPr>
        <w:numPr>
          <w:ilvl w:val="0"/>
          <w:numId w:val="1011"/>
        </w:numPr>
        <w:pStyle w:val="Compact"/>
      </w:pPr>
      <w:r>
        <w:t xml:space="preserve">Recyclability Percentage: 80% [cite: dzfuxmqoom]</w:t>
      </w:r>
    </w:p>
    <w:p>
      <w:pPr>
        <w:numPr>
          <w:ilvl w:val="0"/>
          <w:numId w:val="1011"/>
        </w:numPr>
        <w:pStyle w:val="Compact"/>
      </w:pPr>
      <w:r>
        <w:t xml:space="preserve">Circular/Take-back Programs: Yes, comprehensive program [cite: vksxgmilwm]</w:t>
      </w:r>
    </w:p>
    <w:p>
      <w:pPr>
        <w:numPr>
          <w:ilvl w:val="0"/>
          <w:numId w:val="1011"/>
        </w:numPr>
        <w:pStyle w:val="Compact"/>
      </w:pPr>
      <w:r>
        <w:t xml:space="preserve">Total Material Emissions (Virgin, from BOM): 6.959 kgCO2e/unit</w:t>
      </w:r>
    </w:p>
    <w:p>
      <w:pPr>
        <w:pStyle w:val="FirstParagraph"/>
      </w:pPr>
      <w:r>
        <w:t xml:space="preserve">For the 80% recycled portion, we calculate avoided emissions based on the reduction from virgin material production:</w:t>
      </w:r>
    </w:p>
    <w:p>
      <w:pPr>
        <w:numPr>
          <w:ilvl w:val="0"/>
          <w:numId w:val="1012"/>
        </w:numPr>
        <w:pStyle w:val="Compact"/>
      </w:pPr>
      <w:r>
        <w:rPr>
          <w:bCs/>
          <w:b/>
        </w:rPr>
        <w:t xml:space="preserve">Aluminium Casing (0.2 kg):</w:t>
      </w:r>
    </w:p>
    <w:p>
      <w:pPr>
        <w:numPr>
          <w:ilvl w:val="1"/>
          <w:numId w:val="1013"/>
        </w:numPr>
        <w:pStyle w:val="Compact"/>
      </w:pPr>
      <w:r>
        <w:t xml:space="preserve">Virgin material emissions (from BOM): 2.954 kgCO2e</w:t>
      </w:r>
    </w:p>
    <w:p>
      <w:pPr>
        <w:numPr>
          <w:ilvl w:val="1"/>
          <w:numId w:val="1013"/>
        </w:numPr>
        <w:pStyle w:val="Compact"/>
      </w:pPr>
      <w:r>
        <w:t xml:space="preserve">Avoided emissions from recycling: 92% of virgin emissions</w:t>
      </w:r>
    </w:p>
    <w:p>
      <w:pPr>
        <w:numPr>
          <w:ilvl w:val="1"/>
          <w:numId w:val="1013"/>
        </w:numPr>
        <w:pStyle w:val="Compact"/>
      </w:pPr>
      <w:r>
        <w:t xml:space="preserve">Calculation: 0.80 (recycled portion) * 2.954 kgCO2e * 0.92 = 2.170 kgCO2e (avoided)</w:t>
      </w:r>
    </w:p>
    <w:p>
      <w:pPr>
        <w:numPr>
          <w:ilvl w:val="0"/>
          <w:numId w:val="1012"/>
        </w:numPr>
        <w:pStyle w:val="Compact"/>
      </w:pPr>
      <w:r>
        <w:rPr>
          <w:bCs/>
          <w:b/>
        </w:rPr>
        <w:t xml:space="preserve">ABS Plastic Housing (0.15 kg):</w:t>
      </w:r>
    </w:p>
    <w:p>
      <w:pPr>
        <w:numPr>
          <w:ilvl w:val="1"/>
          <w:numId w:val="1014"/>
        </w:numPr>
        <w:pStyle w:val="Compact"/>
      </w:pPr>
      <w:r>
        <w:t xml:space="preserve">Virgin material emissions (from BOM): 0.375 kgCO2e</w:t>
      </w:r>
    </w:p>
    <w:p>
      <w:pPr>
        <w:numPr>
          <w:ilvl w:val="1"/>
          <w:numId w:val="1014"/>
        </w:numPr>
        <w:pStyle w:val="Compact"/>
      </w:pPr>
      <w:r>
        <w:t xml:space="preserve">Avoided emissions from recycling: 50% of virgin emissions</w:t>
      </w:r>
    </w:p>
    <w:p>
      <w:pPr>
        <w:numPr>
          <w:ilvl w:val="1"/>
          <w:numId w:val="1014"/>
        </w:numPr>
        <w:pStyle w:val="Compact"/>
      </w:pPr>
      <w:r>
        <w:t xml:space="preserve">Calculation: 0.80 (recycled portion) * 0.375 kgCO2e * 0.50 = 0.150 kgCO2e (avoided)</w:t>
      </w:r>
    </w:p>
    <w:p>
      <w:pPr>
        <w:numPr>
          <w:ilvl w:val="0"/>
          <w:numId w:val="1012"/>
        </w:numPr>
        <w:pStyle w:val="Compact"/>
      </w:pPr>
      <w:r>
        <w:rPr>
          <w:bCs/>
          <w:b/>
        </w:rPr>
        <w:t xml:space="preserve">Total Avoided Emissions from Recycling:</w:t>
      </w:r>
      <w:r>
        <w:t xml:space="preserve"> </w:t>
      </w:r>
      <w:r>
        <w:t xml:space="preserve">2.170 kgCO2e + 0.150 kgCO2e = 2.320 kgCO2e</w:t>
      </w:r>
    </w:p>
    <w:p>
      <w:pPr>
        <w:pStyle w:val="FirstParagraph"/>
      </w:pPr>
      <w:r>
        <w:t xml:space="preserve">For the remaining 20% of materials assumed to be landfilled, a general emission factor for waste disposal is applied. Assuming an average landfill emission factor for mixed materials (e.g., similar to plastic landfill):</w:t>
      </w:r>
    </w:p>
    <w:p>
      <w:pPr>
        <w:numPr>
          <w:ilvl w:val="0"/>
          <w:numId w:val="1015"/>
        </w:numPr>
        <w:pStyle w:val="Compact"/>
      </w:pPr>
      <w:r>
        <w:t xml:space="preserve">Landfilled Material Weight: 0.60 kg * (1 - 0.80) = 0.12 kg = 0.00012 tonnes</w:t>
      </w:r>
    </w:p>
    <w:p>
      <w:pPr>
        <w:numPr>
          <w:ilvl w:val="0"/>
          <w:numId w:val="1015"/>
        </w:numPr>
        <w:pStyle w:val="Compact"/>
      </w:pPr>
      <w:r>
        <w:t xml:space="preserve">Average Landfill Emission Factor (e.g., plastic): 33 kg CO2e/tonne (0.033 kgCO2e/kg)</w:t>
      </w:r>
    </w:p>
    <w:p>
      <w:pPr>
        <w:numPr>
          <w:ilvl w:val="0"/>
          <w:numId w:val="1015"/>
        </w:numPr>
        <w:pStyle w:val="Compact"/>
      </w:pPr>
      <w:r>
        <w:t xml:space="preserve">Calculation: 0.00012 tonnes * 33 kgCO2e/tonne = 0.00396 kgCO2e (landfill emissions)</w:t>
      </w:r>
    </w:p>
    <w:p>
      <w:pPr>
        <w:numPr>
          <w:ilvl w:val="0"/>
          <w:numId w:val="1016"/>
        </w:numPr>
        <w:pStyle w:val="Compact"/>
      </w:pPr>
      <w:r>
        <w:rPr>
          <w:bCs/>
          <w:b/>
        </w:rPr>
        <w:t xml:space="preserve">Net Estimated Scope 3, Category 12 Emissions:</w:t>
      </w:r>
      <w:r>
        <w:t xml:space="preserve"> </w:t>
      </w:r>
      <w:r>
        <w:t xml:space="preserve">0.00396 kgCO2e (landfill) - 2.320 kgCO2e (avoided) = -2.316 kgCO2e/unit (a net credit)</w:t>
      </w:r>
    </w:p>
    <w:bookmarkEnd w:id="40"/>
    <w:bookmarkEnd w:id="41"/>
    <w:bookmarkStart w:id="42" w:name="total-product-carbon-footprint"/>
    <w:p>
      <w:pPr>
        <w:pStyle w:val="Heading3"/>
      </w:pPr>
      <w:r>
        <w:t xml:space="preserve">4.4. Total Product Carbon Footprint</w:t>
      </w:r>
    </w:p>
    <w:p>
      <w:pPr>
        <w:pStyle w:val="FirstParagraph"/>
      </w:pPr>
      <w:r>
        <w:t xml:space="preserve">Summing up emissions across all scopes and categories: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1.162</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6.959</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0.096</w:t>
            </w: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0.004</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17.430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-2.316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23.335 kgCO2e/unit</w:t>
            </w:r>
          </w:p>
        </w:tc>
      </w:tr>
    </w:tbl>
    <w:bookmarkEnd w:id="42"/>
    <w:bookmarkStart w:id="43" w:name="lsr-update-application"/>
    <w:p>
      <w:pPr>
        <w:pStyle w:val="Heading3"/>
      </w:pPr>
      <w:r>
        <w:t xml:space="preserve">4.5. 2026 LSR Update Application</w:t>
      </w:r>
    </w:p>
    <w:p>
      <w:pPr>
        <w:pStyle w:val="FirstParagraph"/>
      </w:pPr>
      <w:r>
        <w:t xml:space="preserve">The Land Sector and Removals (LSR) Standard, effective January 1, 2027, provides specific accounting requirements and guidance for land-related emissions, CO2 removals, and biogenic products. While the Eco-Smart Gadget X\'s primary material impacts are industrial, the LSR Standard is relevant for the cardboard packaging (MAT006). This standard will enable GreenTech Solutions Inc. to more accurately account for biogenic carbon in products, land use change emissions, and any carbon removal activities associated with its supply chain. The accompanying guidance document for the LSR Standard is expected in Q2 2026, which will offer more practical direction for implementation. For this report, the biogenic emissions of the cardboard are considered to be neutral over its lifecycle, provided it originates from sustainably managed forests and is recycled, aligning with the spirit of the LSR Standard\'s focus on removals.</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reveals the following key emission hotspots for the Eco-Smart Gadget X:</w:t>
      </w:r>
    </w:p>
    <w:p>
      <w:pPr>
        <w:numPr>
          <w:ilvl w:val="0"/>
          <w:numId w:val="1017"/>
        </w:numPr>
        <w:pStyle w:val="Compact"/>
      </w:pPr>
      <w:r>
        <w:rPr>
          <w:bCs/>
          <w:b/>
        </w:rPr>
        <w:t xml:space="preserve">Use Phase (Category 11):</w:t>
      </w:r>
      <w:r>
        <w:t xml:space="preserve"> </w:t>
      </w:r>
      <w:r>
        <w:t xml:space="preserve">At 17.430 kgCO2e/unit, the energy consumption during the product\'s 3-year lifespan accounts for the largest share of the PCF. This highlights the importance of energy efficiency in product design and consumer usage patterns.</w:t>
      </w:r>
    </w:p>
    <w:p>
      <w:pPr>
        <w:numPr>
          <w:ilvl w:val="0"/>
          <w:numId w:val="1017"/>
        </w:numPr>
        <w:pStyle w:val="Compact"/>
      </w:pPr>
      <w:r>
        <w:rPr>
          <w:bCs/>
          <w:b/>
        </w:rPr>
        <w:t xml:space="preserve">Purchased Goods and Services (Category 1):</w:t>
      </w:r>
      <w:r>
        <w:t xml:space="preserve"> </w:t>
      </w:r>
      <w:r>
        <w:t xml:space="preserve">Material acquisition and processing contribute 6.959 kgCO2e/unit, indicating that the choice of materials and their manufacturing processes are significant. Aluminium (2.954 kgCO2e) and the Lithium-Ion Battery (2.000 kgCO2e) are major contributors within this category.</w:t>
      </w:r>
    </w:p>
    <w:p>
      <w:pPr>
        <w:numPr>
          <w:ilvl w:val="0"/>
          <w:numId w:val="1017"/>
        </w:numPr>
        <w:pStyle w:val="Compact"/>
      </w:pPr>
      <w:r>
        <w:rPr>
          <w:bCs/>
          <w:b/>
        </w:rPr>
        <w:t xml:space="preserve">End-of-Life Treatment (Category 12):</w:t>
      </w:r>
      <w:r>
        <w:t xml:space="preserve"> </w:t>
      </w:r>
      <w:r>
        <w:t xml:space="preserve">The strong recyclability (80%) and the presence of circular programs lead to a significant avoided emissions credit of -2.316 kgCO2e, demonstrating the positive impact of circular economy initiatives.</w:t>
      </w:r>
    </w:p>
    <w:p>
      <w:pPr>
        <w:numPr>
          <w:ilvl w:val="0"/>
          <w:numId w:val="1017"/>
        </w:numPr>
        <w:pStyle w:val="Compact"/>
      </w:pPr>
      <w:r>
        <w:rPr>
          <w:bCs/>
          <w:b/>
        </w:rPr>
        <w:t xml:space="preserve">Production Energy (Scope 2):</w:t>
      </w:r>
      <w:r>
        <w:t xml:space="preserve"> </w:t>
      </w:r>
      <w:r>
        <w:t xml:space="preserve">Although a smaller portion, the non-renewable energy used in production contributes 1.162 kgCO2e/unit, emphasizing the benefit of increasing renewable energy usage at manufacturing facilities.</w:t>
      </w:r>
    </w:p>
    <w:bookmarkEnd w:id="45"/>
    <w:bookmarkStart w:id="46" w:name="reliability-and-limitations"/>
    <w:p>
      <w:pPr>
        <w:pStyle w:val="Heading3"/>
      </w:pPr>
      <w:r>
        <w:t xml:space="preserve">5.2. Reliability and Limitations</w:t>
      </w:r>
    </w:p>
    <w:p>
      <w:pPr>
        <w:pStyle w:val="FirstParagraph"/>
      </w:pPr>
      <w:r>
        <w:t xml:space="preserve">The reliability of this PCF is high due to the use of detailed BOM data and adherence to GHG Protocol standards. However, certain limitations exist:</w:t>
      </w:r>
    </w:p>
    <w:p>
      <w:pPr>
        <w:numPr>
          <w:ilvl w:val="0"/>
          <w:numId w:val="1018"/>
        </w:numPr>
        <w:pStyle w:val="Compact"/>
      </w:pPr>
      <w:r>
        <w:rPr>
          <w:bCs/>
          <w:b/>
        </w:rPr>
        <w:t xml:space="preserve">Placeholder Data:</w:t>
      </w:r>
      <w:r>
        <w:t xml:space="preserve"> </w:t>
      </w:r>
      <w:r>
        <w:t xml:space="preserve">Illustrative values were used for unspecified parameters (e.g., specific transport modes, distances, renewable energy breakdown, BOM details) where only placeholder names were provided in the prompt. Actual data would increase precision.</w:t>
      </w:r>
    </w:p>
    <w:p>
      <w:pPr>
        <w:numPr>
          <w:ilvl w:val="0"/>
          <w:numId w:val="1018"/>
        </w:numPr>
        <w:pStyle w:val="Compact"/>
      </w:pPr>
      <w:r>
        <w:rPr>
          <w:bCs/>
          <w:b/>
        </w:rPr>
        <w:t xml:space="preserve">Secondary Data:</w:t>
      </w:r>
      <w:r>
        <w:t xml:space="preserve"> </w:t>
      </w:r>
      <w:r>
        <w:t xml:space="preserve">Reliance on average industry emission factors (e.g., for electricity grids, transportation) introduces some uncertainty compared to primary, supplier-specific data.</w:t>
      </w:r>
    </w:p>
    <w:p>
      <w:pPr>
        <w:numPr>
          <w:ilvl w:val="0"/>
          <w:numId w:val="1018"/>
        </w:numPr>
        <w:pStyle w:val="Compact"/>
      </w:pPr>
      <w:r>
        <w:rPr>
          <w:bCs/>
          <w:b/>
        </w:rPr>
        <w:t xml:space="preserve">EoL Assumptions:</w:t>
      </w:r>
      <w:r>
        <w:t xml:space="preserve"> </w:t>
      </w:r>
      <w:r>
        <w:t xml:space="preserve">Avoided emissions for recycling are based on general industry averages and may vary depending on specific recycling technologies and material purity.</w:t>
      </w:r>
    </w:p>
    <w:p>
      <w:pPr>
        <w:numPr>
          <w:ilvl w:val="0"/>
          <w:numId w:val="1018"/>
        </w:numPr>
        <w:pStyle w:val="Compact"/>
      </w:pPr>
      <w:r>
        <w:rPr>
          <w:bCs/>
          <w:b/>
        </w:rPr>
        <w:t xml:space="preserve">LSR Standard:</w:t>
      </w:r>
      <w:r>
        <w:t xml:space="preserve"> </w:t>
      </w:r>
      <w:r>
        <w:t xml:space="preserve">While acknowledged, full quantification of land-related impacts and removals as per the 2026 LSR Standard would require more specific data on land use in the supply chain.</w:t>
      </w:r>
    </w:p>
    <w:bookmarkEnd w:id="46"/>
    <w:bookmarkStart w:id="47" w:name="recommendations-for-improvement"/>
    <w:p>
      <w:pPr>
        <w:pStyle w:val="Heading3"/>
      </w:pPr>
      <w:r>
        <w:t xml:space="preserve">5.3. Recommendations for Improvement</w:t>
      </w:r>
    </w:p>
    <w:p>
      <w:pPr>
        <w:pStyle w:val="FirstParagraph"/>
      </w:pPr>
      <w:r>
        <w:t xml:space="preserve">Based on this analysis, GreenTech Solutions Inc. is recommended to focus on:</w:t>
      </w:r>
    </w:p>
    <w:p>
      <w:pPr>
        <w:numPr>
          <w:ilvl w:val="0"/>
          <w:numId w:val="1019"/>
        </w:numPr>
        <w:pStyle w:val="Compact"/>
      </w:pPr>
      <w:r>
        <w:rPr>
          <w:bCs/>
          <w:b/>
        </w:rPr>
        <w:t xml:space="preserve">Enhancing Use Phase Efficiency:</w:t>
      </w:r>
      <w:r>
        <w:t xml:space="preserve"> </w:t>
      </w:r>
      <w:r>
        <w:t xml:space="preserve">Invest in R&amp;D to significantly reduce the Eco-Smart Gadget X\'s energy consumption during its lifespan. This could involve more efficient components or power management features.</w:t>
      </w:r>
    </w:p>
    <w:p>
      <w:pPr>
        <w:numPr>
          <w:ilvl w:val="0"/>
          <w:numId w:val="1019"/>
        </w:numPr>
        <w:pStyle w:val="Compact"/>
      </w:pPr>
      <w:r>
        <w:rPr>
          <w:bCs/>
          <w:b/>
        </w:rPr>
        <w:t xml:space="preserve">Sustainable Material Sourcing:</w:t>
      </w:r>
      <w:r>
        <w:t xml:space="preserve"> </w:t>
      </w:r>
      <w:r>
        <w:t xml:space="preserve">Prioritize sourcing lower-carbon alternatives for high-impact materials like aluminium and batteries. Investigate recycled content options for metals and plastics beyond current levels.</w:t>
      </w:r>
    </w:p>
    <w:p>
      <w:pPr>
        <w:numPr>
          <w:ilvl w:val="0"/>
          <w:numId w:val="1019"/>
        </w:numPr>
        <w:pStyle w:val="Compact"/>
      </w:pPr>
      <w:r>
        <w:rPr>
          <w:bCs/>
          <w:b/>
        </w:rPr>
        <w:t xml:space="preserve">Increased Renewable Energy Integration:</w:t>
      </w:r>
      <w:r>
        <w:t xml:space="preserve"> </w:t>
      </w:r>
      <w:r>
        <w:t xml:space="preserve">Further increase the share of renewable energy used in the production process (Scope 2) in China to minimize emissions from purchased electricity.</w:t>
      </w:r>
    </w:p>
    <w:p>
      <w:pPr>
        <w:numPr>
          <w:ilvl w:val="0"/>
          <w:numId w:val="1019"/>
        </w:numPr>
        <w:pStyle w:val="Compact"/>
      </w:pPr>
      <w:r>
        <w:rPr>
          <w:bCs/>
          <w:b/>
        </w:rPr>
        <w:t xml:space="preserve">Optimize Logistics:</w:t>
      </w:r>
      <w:r>
        <w:t xml:space="preserve"> </w:t>
      </w:r>
      <w:r>
        <w:t xml:space="preserve">Explore further optimization of upstream and downstream transportation, such as selecting lower-emission transport modes where feasible, optimizing routes, and increasing load factors.</w:t>
      </w:r>
    </w:p>
    <w:p>
      <w:pPr>
        <w:numPr>
          <w:ilvl w:val="0"/>
          <w:numId w:val="1019"/>
        </w:numPr>
        <w:pStyle w:val="Compact"/>
      </w:pPr>
      <w:r>
        <w:rPr>
          <w:bCs/>
          <w:b/>
        </w:rPr>
        <w:t xml:space="preserve">Strengthen Circularity:</w:t>
      </w:r>
      <w:r>
        <w:t xml:space="preserve"> </w:t>
      </w:r>
      <w:r>
        <w:t xml:space="preserve">Continue to develop and promote take-back and recycling programs, and explore opportunities for material circularity (e.g., closed-loop recycling for more components) to maximize avoided emissions.</w:t>
      </w:r>
    </w:p>
    <w:p>
      <w:pPr>
        <w:numPr>
          <w:ilvl w:val="0"/>
          <w:numId w:val="1019"/>
        </w:numPr>
        <w:pStyle w:val="Compact"/>
      </w:pPr>
      <w:r>
        <w:rPr>
          <w:bCs/>
          <w:b/>
        </w:rPr>
        <w:t xml:space="preserve">LSR Implementation:</w:t>
      </w:r>
      <w:r>
        <w:t xml:space="preserve"> </w:t>
      </w:r>
      <w:r>
        <w:t xml:space="preserve">Prepare for the full implementation of the GHG Protocol LSR Standard by developing systems to track and report land-related emissions and removals, especially for biogenic materials in packaging.</w:t>
      </w:r>
    </w:p>
    <w:p>
      <w:r>
        <w:pict>
          <v:rect style="width:0;height:1.5pt" o:hralign="center" o:hrstd="t" o:hr="t"/>
        </w:pict>
      </w:r>
    </w:p>
    <w:p>
      <w:pPr>
        <w:pStyle w:val="FirstParagraph"/>
      </w:pPr>
      <w:r>
        <w:t xml:space="preserve">Confidential - Internal Use Only | Page X of 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Gadget X</dc:title>
  <dc:creator/>
  <dc:description>High-detail Product Carbon Footprint (PCF) analysis for Eco-Smart Gadget X by GreenTech Solutions Inc., adhering to GHG Protocol and 2026 requirements for sustainability reporting.</dc:description>
  <dc:language>en</dc:language>
  <cp:keywords/>
  <dcterms:created xsi:type="dcterms:W3CDTF">2026-07-15T05:32:56Z</dcterms:created>
  <dcterms:modified xsi:type="dcterms:W3CDTF">2026-07-15T05:32:56Z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