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dztdnxkilk</w:t>
      </w:r>
    </w:p>
    <w:p>
      <w:pPr>
        <w:pStyle w:val="FirstParagraph"/>
      </w:pPr>
      <w:r>
        <w:rPr>
          <w:bCs/>
          <w:b/>
        </w:rP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dztdnxkilk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djeryunixg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imrpkrxwuq</w:t>
      </w:r>
    </w:p>
    <w:p>
      <w:pPr>
        <w:pStyle w:val="BodyText"/>
      </w:pPr>
      <w:r>
        <w:t xml:space="preserve">Disclaimer: This report is generated based on available data, industry standards, and the specific parameters provided.</w:t>
      </w:r>
      <w:r>
        <w:t xml:space="preserve"> </w:t>
      </w:r>
      <w:r>
        <w:t xml:space="preserve">While every effort has been made to ensure accuracy and adherence to GHG Protocol methodologies,</w:t>
      </w:r>
      <w:r>
        <w:t xml:space="preserve"> </w:t>
      </w:r>
      <w:r>
        <w:t xml:space="preserve">actual emissions may vary depending on real-time operational factors and data precision.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Generated Date: June 1,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dztdnxkilk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djeryunixg</w:t>
      </w:r>
      <w:r>
        <w:t xml:space="preserve">. The analysis was conducted by</w:t>
      </w:r>
      <w:r>
        <w:t xml:space="preserve"> </w:t>
      </w:r>
      <w:r>
        <w:rPr>
          <w:bCs/>
          <w:b/>
        </w:rPr>
        <w:t xml:space="preserve">imrpkrxwuq</w:t>
      </w:r>
      <w:r>
        <w:t xml:space="preserve">, a Senior Sustainability Consultant</w:t>
      </w:r>
      <w:r>
        <w:t xml:space="preserve"> </w:t>
      </w:r>
      <w:r>
        <w:t xml:space="preserve">specializing in GHG Protocol. The primary objective is to quantify the greenhouse gas (GHG) emissions</w:t>
      </w:r>
      <w:r>
        <w:t xml:space="preserve"> </w:t>
      </w:r>
      <w:r>
        <w:t xml:space="preserve">associated with the product\'s lifecycle, from raw material extraction to end-of-life,</w:t>
      </w:r>
      <w:r>
        <w:t xml:space="preserve"> </w:t>
      </w:r>
      <w:r>
        <w:t xml:space="preserve">following the Greenhouse Gas Protocol\'s Product Standard.</w:t>
      </w:r>
      <w:r>
        <w:t xml:space="preserve"> </w:t>
      </w:r>
      <w:r>
        <w:t xml:space="preserve">Key insights include emission hotspots across the value chain and recommendations for reduction.</w:t>
      </w:r>
    </w:p>
    <w:bookmarkEnd w:id="22"/>
    <w:bookmarkStart w:id="27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for dztdnxkilk was calculated using a lifecycle assessment (LCA) approach,</w:t>
      </w:r>
      <w:r>
        <w:t xml:space="preserve"> </w:t>
      </w:r>
      <w:r>
        <w:t xml:space="preserve">adhering strictly to the GHG Protocol Product Standard. This methodology ensures a comprehensive</w:t>
      </w:r>
      <w:r>
        <w:t xml:space="preserve"> </w:t>
      </w:r>
      <w:r>
        <w:t xml:space="preserve">and consistent quantification of GHG emissions.</w:t>
      </w:r>
    </w:p>
    <w:bookmarkStart w:id="23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analysis is defined as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dztdnxkilk.</w:t>
      </w:r>
    </w:p>
    <w:bookmarkEnd w:id="23"/>
    <w:bookmarkStart w:id="24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adopted for this PCF analysis is \'cradle-to-grave\', encompassing all stages</w:t>
      </w:r>
      <w:r>
        <w:t xml:space="preserve"> </w:t>
      </w:r>
      <w:r>
        <w:t xml:space="preserve">from raw material acquisition, manufacturing, transportation, product use, and end-of-life treatment.</w:t>
      </w:r>
      <w:r>
        <w:t xml:space="preserve"> </w:t>
      </w:r>
      <w:r>
        <w:t xml:space="preserve">While the primary production site is considered a \'factory_gate\' for direct operational emissions,</w:t>
      </w:r>
      <w:r>
        <w:t xml:space="preserve"> </w:t>
      </w:r>
      <w:r>
        <w:t xml:space="preserve">the overall PCF extends across the entire product lifecycle as per the provided parameters.</w:t>
      </w:r>
    </w:p>
    <w:bookmarkEnd w:id="24"/>
    <w:bookmarkStart w:id="25" w:name="geographic-scope"/>
    <w:p>
      <w:pPr>
        <w:pStyle w:val="Heading3"/>
      </w:pPr>
      <w:r>
        <w:t xml:space="preserve">1.3. Geographic Scope</w:t>
      </w:r>
    </w:p>
    <w:p>
      <w:pPr>
        <w:pStyle w:val="FirstParagraph"/>
      </w:pPr>
      <w:r>
        <w:t xml:space="preserve">The final production country for dztdnxkilk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</w:t>
      </w:r>
      <w:r>
        <w:t xml:space="preserve"> </w:t>
      </w:r>
      <w:r>
        <w:t xml:space="preserve">for upstream activities (e.g., raw material sourcing) is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implying</w:t>
      </w:r>
      <w:r>
        <w:t xml:space="preserve"> </w:t>
      </w:r>
      <w:r>
        <w:t xml:space="preserve">materials may originate from Europe and be transported to China for manufacturing.</w:t>
      </w:r>
      <w:r>
        <w:t xml:space="preserve"> </w:t>
      </w:r>
      <w:r>
        <w:t xml:space="preserve">The use phase and end-of-life scenarios are assumed to occur in Europe, aligning with the supply chain focus.</w:t>
      </w:r>
    </w:p>
    <w:bookmarkEnd w:id="25"/>
    <w:bookmarkStart w:id="26" w:name="allocation"/>
    <w:p>
      <w:pPr>
        <w:pStyle w:val="Heading3"/>
      </w:pPr>
      <w:r>
        <w:t xml:space="preserve">1.4. Allocation</w:t>
      </w:r>
    </w:p>
    <w:p>
      <w:pPr>
        <w:pStyle w:val="FirstParagraph"/>
      </w:pPr>
      <w:r>
        <w:t xml:space="preserve">Emissions are allocated directly to the functional unit (1.0 unit of dztdnxkilk).</w:t>
      </w:r>
      <w:r>
        <w:t xml:space="preserve"> </w:t>
      </w:r>
      <w:r>
        <w:t xml:space="preserve">Co-product allocation, where applicable, follows mass-based or economic allocation principles</w:t>
      </w:r>
      <w:r>
        <w:t xml:space="preserve"> </w:t>
      </w:r>
      <w:r>
        <w:t xml:space="preserve">consistent with GHG Protocol guidance.</w:t>
      </w:r>
    </w:p>
    <w:bookmarkEnd w:id="26"/>
    <w:bookmarkEnd w:id="27"/>
    <w:p>
      <w:r>
        <w:pict>
          <v:rect style="width:0;height:1.5pt" o:hralign="center" o:hrstd="t" o:hr="t"/>
        </w:pict>
      </w:r>
    </w:p>
    <w:bookmarkStart w:id="34" w:name="lifecycle-mapping-and-data-collection"/>
    <w:p>
      <w:pPr>
        <w:pStyle w:val="Heading2"/>
      </w:pPr>
      <w:r>
        <w:t xml:space="preserve">2. Lifecycle Mapping and Data Collection</w:t>
      </w:r>
    </w:p>
    <w:p>
      <w:pPr>
        <w:pStyle w:val="FirstParagraph"/>
      </w:pPr>
      <w:r>
        <w:t xml:space="preserve">This section details the various stages of dztdnxkilk\'s lifecycle and the data points</w:t>
      </w:r>
      <w:r>
        <w:t xml:space="preserve"> </w:t>
      </w:r>
      <w:r>
        <w:t xml:space="preserve">collected for emission quantification. The analysis categorizes emissions into Scope 1, 2, and 3</w:t>
      </w:r>
      <w:r>
        <w:t xml:space="preserve"> </w:t>
      </w:r>
      <w:r>
        <w:t xml:space="preserve">as defined by the GHG Protocol.</w:t>
      </w:r>
    </w:p>
    <w:bookmarkStart w:id="29" w:name="X3cfeacc2d476bf6a75ec07d30eb19409b61ef7d"/>
    <w:p>
      <w:pPr>
        <w:pStyle w:val="Heading3"/>
      </w:pPr>
      <w:r>
        <w:t xml:space="preserve">2.1. Material Acquisition &amp; Manufacturing (Upstream - Scope 3)</w:t>
      </w:r>
    </w:p>
    <w:p>
      <w:pPr>
        <w:pStyle w:val="FirstParagraph"/>
      </w:pPr>
      <w:r>
        <w:t xml:space="preserve">The detailed Bill of Materials (BOM) for dztdnxkilk (provided as</w:t>
      </w:r>
      <w:r>
        <w:t xml:space="preserve"> </w:t>
      </w:r>
      <w:r>
        <w:rPr>
          <w:bCs/>
          <w:b/>
        </w:rPr>
        <w:t xml:space="preserve">rifmgqtz</w:t>
      </w:r>
      <w:r>
        <w:t xml:space="preserve">) was used</w:t>
      </w:r>
      <w:r>
        <w:t xml:space="preserve"> </w:t>
      </w:r>
      <w:r>
        <w:t xml:space="preserve">to calculate the environmental impact of raw materials. This includes extraction, processing,</w:t>
      </w:r>
      <w:r>
        <w:t xml:space="preserve"> </w:t>
      </w:r>
      <w:r>
        <w:t xml:space="preserve">and initial manufacturing of components.</w:t>
      </w:r>
    </w:p>
    <w:bookmarkStart w:id="28" w:name="detailed-bill-of-materials-bom-analysis"/>
    <w:p>
      <w:pPr>
        <w:pStyle w:val="Heading4"/>
      </w:pPr>
      <w:r>
        <w:t xml:space="preserve">Detailed Bill of Materials (BOM) Analysis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</w:tr>
    </w:tbl>
    <w:p>
      <w:pPr>
        <w:pStyle w:val="BodyText"/>
      </w:pPr>
      <w:r>
        <w:t xml:space="preserve">Total Material Carbon Footprint: The sum of \'Total Carbon\' from the BOM will be used.</w:t>
      </w:r>
      <w:r>
        <w:t xml:space="preserve"> </w:t>
      </w:r>
      <w:r>
        <w:t xml:space="preserve">For the provided BOM, the sum is 2.5 + 0.96 + 1.5 + 0.2 =</w:t>
      </w:r>
      <w:r>
        <w:t xml:space="preserve"> </w:t>
      </w:r>
      <w:r>
        <w:rPr>
          <w:bCs/>
          <w:b/>
        </w:rPr>
        <w:t xml:space="preserve">5.16 kgCO2e</w:t>
      </w:r>
      <w:r>
        <w:t xml:space="preserve">.</w:t>
      </w:r>
    </w:p>
    <w:bookmarkEnd w:id="28"/>
    <w:bookmarkEnd w:id="29"/>
    <w:bookmarkStart w:id="30" w:name="Xf66994fd76a65ef7dac5f0bd7e4ee53a3442b0b"/>
    <w:p>
      <w:pPr>
        <w:pStyle w:val="Heading3"/>
      </w:pPr>
      <w:r>
        <w:t xml:space="preserve">2.2. Production Energy (Direct &amp; Indirect - Scope 1 &amp; 2)</w:t>
      </w:r>
    </w:p>
    <w:p>
      <w:pPr>
        <w:pStyle w:val="FirstParagraph"/>
      </w:pPr>
      <w:r>
        <w:t xml:space="preserve">Energy consumption during the manufacturing process in China is a significant factor.</w:t>
      </w:r>
    </w:p>
    <w:p>
      <w:pPr>
        <w:numPr>
          <w:ilvl w:val="0"/>
          <w:numId w:val="1001"/>
        </w:numPr>
        <w:pStyle w:val="Compact"/>
      </w:pPr>
      <w:r>
        <w:t xml:space="preserve">Energy Intensity:</w:t>
      </w:r>
      <w:r>
        <w:t xml:space="preserve"> </w:t>
      </w:r>
      <w:r>
        <w:rPr>
          <w:bCs/>
          <w:b/>
        </w:rPr>
        <w:t xml:space="preserve">eoyidfupot</w:t>
      </w:r>
      <w:r>
        <w:t xml:space="preserve"> </w:t>
      </w:r>
      <w:r>
        <w:t xml:space="preserve">kWh/unit (assuming 10 kWh/unit for calculation purposes, as a placeholder)</w:t>
      </w:r>
    </w:p>
    <w:p>
      <w:pPr>
        <w:numPr>
          <w:ilvl w:val="0"/>
          <w:numId w:val="1001"/>
        </w:numPr>
        <w:pStyle w:val="Compact"/>
      </w:pPr>
      <w:r>
        <w:t xml:space="preserve">Renewable Energy Usage:</w:t>
      </w:r>
      <w:r>
        <w:t xml:space="preserve"> </w:t>
      </w:r>
      <w:r>
        <w:rPr>
          <w:bCs/>
          <w:b/>
        </w:rPr>
        <w:t xml:space="preserve">dxnjyvizhw</w:t>
      </w:r>
      <w:r>
        <w:t xml:space="preserve"> </w:t>
      </w:r>
      <w:r>
        <w:t xml:space="preserve">% (assuming 50% for calculation purposes, as a placeholder)</w:t>
      </w:r>
    </w:p>
    <w:p>
      <w:pPr>
        <w:numPr>
          <w:ilvl w:val="0"/>
          <w:numId w:val="1001"/>
        </w:numPr>
        <w:pStyle w:val="Compact"/>
      </w:pPr>
      <w:r>
        <w:t xml:space="preserve">China Grid Emission Factor (average): 0.58 kgCO2e/kWh.</w:t>
      </w:r>
    </w:p>
    <w:p>
      <w:pPr>
        <w:numPr>
          <w:ilvl w:val="0"/>
          <w:numId w:val="1001"/>
        </w:numPr>
        <w:pStyle w:val="Compact"/>
      </w:pPr>
      <w:r>
        <w:t xml:space="preserve">Renewable Energy Embodied Emissions Factor: 0.05 kgCO2e/kWh (for manufacturing and deployment).</w:t>
      </w:r>
    </w:p>
    <w:bookmarkEnd w:id="30"/>
    <w:bookmarkStart w:id="31" w:name="X11f5d096783fb9d2822b064c95541c3fbb06886"/>
    <w:p>
      <w:pPr>
        <w:pStyle w:val="Heading3"/>
      </w:pPr>
      <w:r>
        <w:t xml:space="preserve">2.3. Transportation (Upstream &amp; Downstream - Scope 3)</w:t>
      </w:r>
    </w:p>
    <w:p>
      <w:pPr>
        <w:pStyle w:val="FirstParagraph"/>
      </w:pPr>
      <w:r>
        <w:t xml:space="preserve">Logistics between production facilities and end-users are crucial for the overall footprint.</w:t>
      </w:r>
    </w:p>
    <w:p>
      <w:pPr>
        <w:numPr>
          <w:ilvl w:val="0"/>
          <w:numId w:val="1002"/>
        </w:numPr>
        <w:pStyle w:val="Compact"/>
      </w:pPr>
      <w:r>
        <w:t xml:space="preserve">Transport Mode:</w:t>
      </w:r>
      <w:r>
        <w:t xml:space="preserve"> </w:t>
      </w:r>
      <w:r>
        <w:rPr>
          <w:bCs/>
          <w:b/>
        </w:rPr>
        <w:t xml:space="preserve">Select Mode</w:t>
      </w:r>
      <w:r>
        <w:t xml:space="preserve"> </w:t>
      </w:r>
      <w:r>
        <w:t xml:space="preserve">(assumed to be Road freight for calculation)</w:t>
      </w:r>
    </w:p>
    <w:p>
      <w:pPr>
        <w:numPr>
          <w:ilvl w:val="0"/>
          <w:numId w:val="1002"/>
        </w:numPr>
        <w:pStyle w:val="Compact"/>
      </w:pPr>
      <w:r>
        <w:t xml:space="preserve">Transport Distance:</w:t>
      </w:r>
      <w:r>
        <w:t xml:space="preserve"> </w:t>
      </w:r>
      <w:r>
        <w:rPr>
          <w:bCs/>
          <w:b/>
        </w:rPr>
        <w:t xml:space="preserve">ydvxzwomxq</w:t>
      </w:r>
      <w:r>
        <w:t xml:space="preserve"> </w:t>
      </w:r>
      <w:r>
        <w:t xml:space="preserve">km (assumed to be 1500 km for calculation purposes, as a placeholder)</w:t>
      </w:r>
    </w:p>
    <w:p>
      <w:pPr>
        <w:numPr>
          <w:ilvl w:val="0"/>
          <w:numId w:val="1002"/>
        </w:numPr>
        <w:pStyle w:val="Compact"/>
      </w:pPr>
      <w:r>
        <w:t xml:space="preserve">Last-Mile Delivery Channel:</w:t>
      </w:r>
      <w:r>
        <w:t xml:space="preserve"> </w:t>
      </w:r>
      <w:r>
        <w:rPr>
          <w:bCs/>
          <w:b/>
        </w:rPr>
        <w:t xml:space="preserve">Delivery Type</w:t>
      </w:r>
      <w:r>
        <w:t xml:space="preserve"> </w:t>
      </w:r>
      <w:r>
        <w:t xml:space="preserve">(assumed to be Parcel delivery for calculation)</w:t>
      </w:r>
    </w:p>
    <w:p>
      <w:pPr>
        <w:numPr>
          <w:ilvl w:val="0"/>
          <w:numId w:val="1002"/>
        </w:numPr>
        <w:pStyle w:val="Compact"/>
      </w:pPr>
      <w:r>
        <w:t xml:space="preserve">Road Freight Emission Factor: 0.1 kgCO2e/tonne-km.</w:t>
      </w:r>
    </w:p>
    <w:p>
      <w:pPr>
        <w:numPr>
          <w:ilvl w:val="0"/>
          <w:numId w:val="1002"/>
        </w:numPr>
        <w:pStyle w:val="Compact"/>
      </w:pPr>
      <w:r>
        <w:t xml:space="preserve">Last-Mile Delivery Emission Factor: 0.23 kgCO2e/package (for an average package).</w:t>
      </w:r>
    </w:p>
    <w:p>
      <w:pPr>
        <w:numPr>
          <w:ilvl w:val="0"/>
          <w:numId w:val="1002"/>
        </w:numPr>
        <w:pStyle w:val="Compact"/>
      </w:pPr>
      <w:r>
        <w:t xml:space="preserve">Estimated Product Weight for Transport: Sum of quantities in \'kg\' from BOM (0.5 kg + 0.3 kg + 0.2 kg) =</w:t>
      </w:r>
      <w:r>
        <w:t xml:space="preserve"> </w:t>
      </w:r>
      <w:r>
        <w:rPr>
          <w:bCs/>
          <w:b/>
        </w:rPr>
        <w:t xml:space="preserve">1.0 kg</w:t>
      </w:r>
      <w:r>
        <w:t xml:space="preserve">.</w:t>
      </w:r>
    </w:p>
    <w:bookmarkEnd w:id="31"/>
    <w:bookmarkStart w:id="32" w:name="product-use-phase-downstream---scope-3"/>
    <w:p>
      <w:pPr>
        <w:pStyle w:val="Heading3"/>
      </w:pPr>
      <w:r>
        <w:t xml:space="preserve">2.4. Product Use Phase (Downstream - Scope 3)</w:t>
      </w:r>
    </w:p>
    <w:p>
      <w:pPr>
        <w:pStyle w:val="FirstParagraph"/>
      </w:pPr>
      <w:r>
        <w:t xml:space="preserve">Energy consumption during the product\'s operational life significantly contributes to its footprint.</w:t>
      </w:r>
      <w:r>
        <w:t xml:space="preserve"> </w:t>
      </w:r>
      <w:r>
        <w:t xml:space="preserve">Given the \'Europe Focused\' supply chain, the use phase is assumed to occur in Europe.</w:t>
      </w:r>
    </w:p>
    <w:p>
      <w:pPr>
        <w:numPr>
          <w:ilvl w:val="0"/>
          <w:numId w:val="1003"/>
        </w:numPr>
        <w:pStyle w:val="Compact"/>
      </w:pPr>
      <w:r>
        <w:t xml:space="preserve">Product Lifespan:</w:t>
      </w:r>
      <w:r>
        <w:t xml:space="preserve"> </w:t>
      </w:r>
      <w:r>
        <w:rPr>
          <w:bCs/>
          <w:b/>
        </w:rPr>
        <w:t xml:space="preserve">hdmlmerluy</w:t>
      </w:r>
      <w:r>
        <w:t xml:space="preserve"> </w:t>
      </w:r>
      <w:r>
        <w:t xml:space="preserve">years (assumed to be 5 years for calculation purposes, as a placeholder)</w:t>
      </w:r>
    </w:p>
    <w:p>
      <w:pPr>
        <w:numPr>
          <w:ilvl w:val="0"/>
          <w:numId w:val="1003"/>
        </w:numPr>
        <w:pStyle w:val="Compact"/>
      </w:pPr>
      <w:r>
        <w:t xml:space="preserve">Energy Consumption in Use:</w:t>
      </w:r>
      <w:r>
        <w:t xml:space="preserve"> </w:t>
      </w:r>
      <w:r>
        <w:rPr>
          <w:bCs/>
          <w:b/>
        </w:rPr>
        <w:t xml:space="preserve">xtwlxzpvip</w:t>
      </w:r>
      <w:r>
        <w:t xml:space="preserve"> </w:t>
      </w:r>
      <w:r>
        <w:t xml:space="preserve">kWh/year (assumed to be 20 kWh/year for calculation purposes, as a placeholder)</w:t>
      </w:r>
    </w:p>
    <w:p>
      <w:pPr>
        <w:numPr>
          <w:ilvl w:val="0"/>
          <w:numId w:val="1003"/>
        </w:numPr>
        <w:pStyle w:val="Compact"/>
      </w:pPr>
      <w:r>
        <w:t xml:space="preserve">European Average Grid Emission Factor: 0.25 kgCO2e/kWh (illustrative for European consumption).</w:t>
      </w:r>
    </w:p>
    <w:bookmarkEnd w:id="32"/>
    <w:bookmarkStart w:id="33" w:name="end-of-life-downstream---scope-3"/>
    <w:p>
      <w:pPr>
        <w:pStyle w:val="Heading3"/>
      </w:pPr>
      <w:r>
        <w:t xml:space="preserve">2.5. End-of-Life (Downstream - Scope 3)</w:t>
      </w:r>
    </w:p>
    <w:p>
      <w:pPr>
        <w:pStyle w:val="FirstParagraph"/>
      </w:pPr>
      <w:r>
        <w:t xml:space="preserve">End-of-life scenarios, including recyclability and circular programs, influence the final PCF.</w:t>
      </w:r>
    </w:p>
    <w:p>
      <w:pPr>
        <w:numPr>
          <w:ilvl w:val="0"/>
          <w:numId w:val="1004"/>
        </w:numPr>
        <w:pStyle w:val="Compact"/>
      </w:pPr>
      <w:r>
        <w:t xml:space="preserve">Recyclability Percentage:</w:t>
      </w:r>
      <w:r>
        <w:t xml:space="preserve"> </w:t>
      </w:r>
      <w:r>
        <w:rPr>
          <w:bCs/>
          <w:b/>
        </w:rPr>
        <w:t xml:space="preserve">evrfqxwpxs</w:t>
      </w:r>
      <w:r>
        <w:t xml:space="preserve"> </w:t>
      </w:r>
      <w:r>
        <w:t xml:space="preserve">% (assumed to be 70% for calculation purposes, as a placeholder)</w:t>
      </w:r>
    </w:p>
    <w:p>
      <w:pPr>
        <w:numPr>
          <w:ilvl w:val="0"/>
          <w:numId w:val="1004"/>
        </w:numPr>
        <w:pStyle w:val="Compact"/>
      </w:pPr>
      <w:r>
        <w:t xml:space="preserve">Circular/Take-back Programs:</w:t>
      </w:r>
      <w:r>
        <w:t xml:space="preserve"> </w:t>
      </w:r>
      <w:r>
        <w:rPr>
          <w:bCs/>
          <w:b/>
        </w:rPr>
        <w:t xml:space="preserve">hhpgxqkzis</w:t>
      </w:r>
      <w:r>
        <w:t xml:space="preserve"> </w:t>
      </w:r>
      <w:r>
        <w:t xml:space="preserve">(assumed to be "Established take-back program" for calculation purposes, as a placeholder)</w:t>
      </w:r>
    </w:p>
    <w:p>
      <w:pPr>
        <w:numPr>
          <w:ilvl w:val="0"/>
          <w:numId w:val="1004"/>
        </w:numPr>
        <w:pStyle w:val="Compact"/>
      </w:pPr>
      <w:r>
        <w:t xml:space="preserve">Recycling Credit Factor: 50% of the virgin material\'s carbon footprint for the recycled portion.</w:t>
      </w:r>
    </w:p>
    <w:bookmarkEnd w:id="33"/>
    <w:bookmarkEnd w:id="34"/>
    <w:p>
      <w:r>
        <w:pict>
          <v:rect style="width:0;height:1.5pt" o:hralign="center" o:hrstd="t" o:hr="t"/>
        </w:pict>
      </w:r>
    </w:p>
    <w:bookmarkStart w:id="43" w:name="X439a6e6dcb43c636bf515ffaf3f59bce0bd6490"/>
    <w:p>
      <w:pPr>
        <w:pStyle w:val="Heading2"/>
      </w:pPr>
      <w:r>
        <w:t xml:space="preserve">3. Emission Calculation (Activity * Emission Factor = CO2e)</w:t>
      </w:r>
    </w:p>
    <w:p>
      <w:pPr>
        <w:pStyle w:val="FirstParagraph"/>
      </w:pPr>
      <w:r>
        <w:t xml:space="preserve">The GHG emissions for dztdnxkilk are calculated based on the collected activity data and</w:t>
      </w:r>
      <w:r>
        <w:t xml:space="preserve"> </w:t>
      </w:r>
      <w:r>
        <w:t xml:space="preserve">applied industry-standard emission factors. Emissions are categorized according to the</w:t>
      </w:r>
      <w:r>
        <w:t xml:space="preserve"> </w:t>
      </w:r>
      <w:r>
        <w:t xml:space="preserve">GHG Protocol Scope definitions.</w:t>
      </w:r>
    </w:p>
    <w:bookmarkStart w:id="35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For a product carbon footprint focused on \'factory_gate\' operations and a complex supply chain,</w:t>
      </w:r>
      <w:r>
        <w:t xml:space="preserve"> </w:t>
      </w:r>
      <w:r>
        <w:t xml:space="preserve">direct Scope 1 emissions would typically include on-site fuel combustion (e.g., for heating or processes)</w:t>
      </w:r>
      <w:r>
        <w:t xml:space="preserve"> </w:t>
      </w:r>
      <w:r>
        <w:t xml:space="preserve">not covered by purchased electricity, and process emissions. Without specific data on on-site fuel</w:t>
      </w:r>
      <w:r>
        <w:t xml:space="preserve"> </w:t>
      </w:r>
      <w:r>
        <w:t xml:space="preserve">consumption or direct process emissions from</w:t>
      </w:r>
      <w:r>
        <w:t xml:space="preserve"> </w:t>
      </w:r>
      <w:r>
        <w:rPr>
          <w:bCs/>
          <w:b/>
        </w:rPr>
        <w:t xml:space="preserve">djeryunixg</w:t>
      </w:r>
      <w:r>
        <w:t xml:space="preserve">\'s factory for dztdnxkilk,</w:t>
      </w:r>
      <w:r>
        <w:t xml:space="preserve"> </w:t>
      </w:r>
      <w:r>
        <w:t xml:space="preserve">these are assumed to be negligible for the functional unit or integrated into the material/energy factors.</w:t>
      </w:r>
      <w:r>
        <w:t xml:space="preserve"> </w:t>
      </w:r>
      <w:r>
        <w:t xml:space="preserve">In a corporate inventory, this would include company-owned vehicle fleets or on-site power generation.</w:t>
      </w:r>
    </w:p>
    <w:p>
      <w:pPr>
        <w:pStyle w:val="BodyText"/>
      </w:pPr>
      <w:r>
        <w:rPr>
          <w:bCs/>
          <w:b/>
        </w:rPr>
        <w:t xml:space="preserve">Total Scope 1 Emissions: 0.00 kgCO2e</w:t>
      </w:r>
      <w:r>
        <w:t xml:space="preserve"> </w:t>
      </w:r>
      <w:r>
        <w:t xml:space="preserve">(Assumed negligible/covered by other scopes for PCF detail.)</w:t>
      </w:r>
    </w:p>
    <w:bookmarkEnd w:id="35"/>
    <w:bookmarkStart w:id="36" w:name="scope-2-emissions-purchased-energy"/>
    <w:p>
      <w:pPr>
        <w:pStyle w:val="Heading3"/>
      </w:pPr>
      <w:r>
        <w:t xml:space="preserve">3.2. Scope 2 Emissions (Purchased Energy)</w:t>
      </w:r>
    </w:p>
    <w:p>
      <w:pPr>
        <w:pStyle w:val="FirstParagraph"/>
      </w:pPr>
      <w:r>
        <w:t xml:space="preserve">These are indirect emissions from the generation of purchased electricity consumed during</w:t>
      </w:r>
      <w:r>
        <w:t xml:space="preserve"> </w:t>
      </w:r>
      <w:r>
        <w:t xml:space="preserve">the manufacturing process in China.</w:t>
      </w:r>
    </w:p>
    <w:p>
      <w:pPr>
        <w:pStyle w:val="BodyText"/>
      </w:pPr>
      <w:r>
        <w:t xml:space="preserve">Calculation: (Energy Intensity * (1 - Renewable Usage %)) * China Grid EF + (Energy Intensity * Renewable Usage %) * Renewable EF</w:t>
      </w:r>
    </w:p>
    <w:p>
      <w:pPr>
        <w:pStyle w:val="BodyText"/>
      </w:pPr>
      <w:r>
        <w:t xml:space="preserve">Using placeholder values: (10 kWh/unit * (1 - 0.50)) * 0.58 kgCO2e/kWh + (10 kWh/unit * 0.50) * 0.05 kgCO2e/kWh</w:t>
      </w:r>
      <w:r>
        <w:t xml:space="preserve"> </w:t>
      </w:r>
      <w:r>
        <w:t xml:space="preserve">= (5 kWh/unit * 0.58 kgCO2e/kWh) + (5 kWh/unit * 0.05 kgCO2e/kWh)</w:t>
      </w:r>
      <w:r>
        <w:t xml:space="preserve"> </w:t>
      </w:r>
      <w:r>
        <w:t xml:space="preserve">= 2.90 kgCO2e + 0.25 kgCO2e</w:t>
      </w:r>
      <w:r>
        <w:t xml:space="preserve"> </w:t>
      </w:r>
      <w:r>
        <w:t xml:space="preserve">=</w:t>
      </w:r>
      <w:r>
        <w:t xml:space="preserve"> </w:t>
      </w:r>
      <w:r>
        <w:rPr>
          <w:bCs/>
          <w:b/>
        </w:rPr>
        <w:t xml:space="preserve">3.15 kgCO2e</w:t>
      </w:r>
    </w:p>
    <w:p>
      <w:pPr>
        <w:pStyle w:val="BodyText"/>
      </w:pPr>
      <w:r>
        <w:rPr>
          <w:bCs/>
          <w:b/>
        </w:rPr>
        <w:t xml:space="preserve">Total Scope 2 Emissions: 3.15 kgCO2e</w:t>
      </w:r>
    </w:p>
    <w:bookmarkEnd w:id="36"/>
    <w:bookmarkStart w:id="39" w:name="scope-3-emissions-value-chain-emissions"/>
    <w:p>
      <w:pPr>
        <w:pStyle w:val="Heading3"/>
      </w:pPr>
      <w:r>
        <w:t xml:space="preserve">3.3. Scope 3 Emissions (Value Chain Emissions)</w:t>
      </w:r>
    </w:p>
    <w:p>
      <w:pPr>
        <w:pStyle w:val="FirstParagraph"/>
      </w:pPr>
      <w:r>
        <w:t xml:space="preserve">Scope 3 emissions represent the vast majority of the product\'s footprint and cover all other</w:t>
      </w:r>
      <w:r>
        <w:t xml:space="preserve"> </w:t>
      </w:r>
      <w:r>
        <w:t xml:space="preserve">indirect emissions occurring in the value chain, both upstream and downstream.</w:t>
      </w:r>
      <w:r>
        <w:t xml:space="preserve"> </w:t>
      </w:r>
      <w:r>
        <w:t xml:space="preserve">As per 2026 requirements, this report ensures at least 95% coverage for Scope 3 reporting.</w:t>
      </w:r>
    </w:p>
    <w:bookmarkStart w:id="37" w:name="upstream-emissions"/>
    <w:p>
      <w:pPr>
        <w:pStyle w:val="Heading4"/>
      </w:pPr>
      <w:r>
        <w:t xml:space="preserve">3.3.1. Upstream Emissions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Purchased Goods and Services (Materials):</w:t>
      </w:r>
    </w:p>
    <w:p>
      <w:pPr>
        <w:numPr>
          <w:ilvl w:val="0"/>
          <w:numId w:val="1000"/>
        </w:numPr>
      </w:pPr>
      <w:r>
        <w:t xml:space="preserve">Total Carbon from BOM:</w:t>
      </w:r>
      <w:r>
        <w:t xml:space="preserve"> </w:t>
      </w:r>
      <w:r>
        <w:rPr>
          <w:bCs/>
          <w:b/>
        </w:rPr>
        <w:t xml:space="preserve">5.16 kgCO2e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Upstream Transportation and Distribution (Raw Materials to Factory):</w:t>
      </w:r>
    </w:p>
    <w:p>
      <w:pPr>
        <w:numPr>
          <w:ilvl w:val="0"/>
          <w:numId w:val="1000"/>
        </w:numPr>
      </w:pPr>
      <w:r>
        <w:t xml:space="preserve">This is typically embedded in the material emission factors provided in the BOM.</w:t>
      </w:r>
      <w:r>
        <w:t xml:space="preserve"> </w:t>
      </w:r>
      <w:r>
        <w:t xml:space="preserve">For simplification, direct calculation for raw material transport to factory is not itemized separately</w:t>
      </w:r>
      <w:r>
        <w:t xml:space="preserve"> </w:t>
      </w:r>
      <w:r>
        <w:t xml:space="preserve">if already covered by the \'Total Carbon\' figures. The focus for explicit transport calculation is for the final product.</w:t>
      </w:r>
    </w:p>
    <w:bookmarkEnd w:id="37"/>
    <w:bookmarkStart w:id="38" w:name="downstream-emissions"/>
    <w:p>
      <w:pPr>
        <w:pStyle w:val="Heading4"/>
      </w:pPr>
      <w:r>
        <w:t xml:space="preserve">3.3.2. Downstream Emissions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Downstream Transportation and Distribution (Factory to Customer):</w:t>
      </w:r>
    </w:p>
    <w:p>
      <w:pPr>
        <w:numPr>
          <w:ilvl w:val="0"/>
          <w:numId w:val="1000"/>
        </w:numPr>
      </w:pPr>
      <w:r>
        <w:t xml:space="preserve">Main Transport (Road freight): Product Weight * Distance * EF_road_freight</w:t>
      </w:r>
    </w:p>
    <w:p>
      <w:pPr>
        <w:numPr>
          <w:ilvl w:val="0"/>
          <w:numId w:val="1000"/>
        </w:numPr>
      </w:pPr>
      <w:r>
        <w:t xml:space="preserve">Calculation: 1.0 kg (0.001 tonne) * 1500 km * 0.1 kgCO2e/tonne-km</w:t>
      </w:r>
      <w:r>
        <w:t xml:space="preserve"> </w:t>
      </w:r>
      <w:r>
        <w:t xml:space="preserve">= 0.15 kgCO2e</w:t>
      </w:r>
    </w:p>
    <w:p>
      <w:pPr>
        <w:numPr>
          <w:ilvl w:val="0"/>
          <w:numId w:val="1000"/>
        </w:numPr>
      </w:pPr>
      <w:r>
        <w:t xml:space="preserve">Last-Mile Delivery (Parcel delivery): 1 unit * EF_last_mile_package</w:t>
      </w:r>
    </w:p>
    <w:p>
      <w:pPr>
        <w:numPr>
          <w:ilvl w:val="0"/>
          <w:numId w:val="1000"/>
        </w:numPr>
      </w:pPr>
      <w:r>
        <w:t xml:space="preserve">Calculation: 1 unit * 0.23 kgCO2e/package</w:t>
      </w:r>
      <w:r>
        <w:t xml:space="preserve"> </w:t>
      </w:r>
      <w:r>
        <w:t xml:space="preserve">= 0.23 kgCO2e</w:t>
      </w:r>
    </w:p>
    <w:p>
      <w:pPr>
        <w:numPr>
          <w:ilvl w:val="0"/>
          <w:numId w:val="1000"/>
        </w:numPr>
      </w:pPr>
      <w:r>
        <w:t xml:space="preserve">Subtotal Downstream Transport: 0.15 + 0.23 =</w:t>
      </w:r>
      <w:r>
        <w:t xml:space="preserve"> </w:t>
      </w:r>
      <w:r>
        <w:rPr>
          <w:bCs/>
          <w:b/>
        </w:rPr>
        <w:t xml:space="preserve">0.38 kgCO2e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Use of Sold Products (Energy Consumption in Use):</w:t>
      </w:r>
    </w:p>
    <w:p>
      <w:pPr>
        <w:numPr>
          <w:ilvl w:val="0"/>
          <w:numId w:val="1000"/>
        </w:numPr>
      </w:pPr>
      <w:r>
        <w:t xml:space="preserve">Calculation: Energy Consumption in Use * Product Lifespan * European Average Grid EF</w:t>
      </w:r>
    </w:p>
    <w:p>
      <w:pPr>
        <w:numPr>
          <w:ilvl w:val="0"/>
          <w:numId w:val="1000"/>
        </w:numPr>
      </w:pPr>
      <w:r>
        <w:t xml:space="preserve">Using placeholder values: 20 kWh/year * 5 years * 0.25 kgCO2e/kWh</w:t>
      </w:r>
      <w:r>
        <w:t xml:space="preserve"> </w:t>
      </w:r>
      <w:r>
        <w:t xml:space="preserve">=</w:t>
      </w:r>
      <w:r>
        <w:t xml:space="preserve"> </w:t>
      </w:r>
      <w:r>
        <w:rPr>
          <w:bCs/>
          <w:b/>
        </w:rPr>
        <w:t xml:space="preserve">25.00 kgCO2e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End-of-Life Treatment of Sold Products (Recycling/Disposal):</w:t>
      </w:r>
    </w:p>
    <w:p>
      <w:pPr>
        <w:numPr>
          <w:ilvl w:val="0"/>
          <w:numId w:val="1000"/>
        </w:numPr>
      </w:pPr>
      <w:r>
        <w:t xml:space="preserve">Recycling Credit: Total Material Carbon * Recyclability % * 0.5 (Credit Factor)</w:t>
      </w:r>
    </w:p>
    <w:p>
      <w:pPr>
        <w:numPr>
          <w:ilvl w:val="0"/>
          <w:numId w:val="1000"/>
        </w:numPr>
      </w:pPr>
      <w:r>
        <w:t xml:space="preserve">Calculation: 5.16 kgCO2e * (70/100) * 0.5</w:t>
      </w:r>
      <w:r>
        <w:t xml:space="preserve"> </w:t>
      </w:r>
      <w:r>
        <w:t xml:space="preserve">= 5.16 kgCO2e * 0.35 =</w:t>
      </w:r>
      <w:r>
        <w:t xml:space="preserve"> </w:t>
      </w:r>
      <w:r>
        <w:rPr>
          <w:bCs/>
          <w:b/>
        </w:rPr>
        <w:t xml:space="preserve">-1.81 kgCO2e</w:t>
      </w:r>
      <w:r>
        <w:t xml:space="preserve"> </w:t>
      </w:r>
      <w:r>
        <w:t xml:space="preserve">(Credit)</w:t>
      </w:r>
    </w:p>
    <w:p>
      <w:pPr>
        <w:numPr>
          <w:ilvl w:val="0"/>
          <w:numId w:val="1000"/>
        </w:numPr>
      </w:pPr>
      <w:r>
        <w:t xml:space="preserve">The existence of</w:t>
      </w:r>
      <w:r>
        <w:t xml:space="preserve"> </w:t>
      </w:r>
      <w:r>
        <w:rPr>
          <w:bCs/>
          <w:b/>
        </w:rPr>
        <w:t xml:space="preserve">hhpgxqkzis</w:t>
      </w:r>
      <w:r>
        <w:t xml:space="preserve"> </w:t>
      </w:r>
      <w:r>
        <w:t xml:space="preserve">(Established take-back program)</w:t>
      </w:r>
      <w:r>
        <w:t xml:space="preserve"> </w:t>
      </w:r>
      <w:r>
        <w:t xml:space="preserve">further enhances the circularity, reducing the overall end-of-life impact by facilitating</w:t>
      </w:r>
      <w:r>
        <w:t xml:space="preserve"> </w:t>
      </w:r>
      <w:r>
        <w:t xml:space="preserve">collection and recycling.</w:t>
      </w:r>
    </w:p>
    <w:p>
      <w:pPr>
        <w:pStyle w:val="FirstParagraph"/>
      </w:pPr>
      <w:r>
        <w:rPr>
          <w:bCs/>
          <w:b/>
        </w:rPr>
        <w:t xml:space="preserve">Total Scope 3 Emissions:</w:t>
      </w:r>
    </w:p>
    <w:p>
      <w:pPr>
        <w:pStyle w:val="BodyText"/>
      </w:pPr>
      <w:r>
        <w:t xml:space="preserve">Material Emissions (Upstream): 5.16 kgCO2e</w:t>
      </w:r>
    </w:p>
    <w:p>
      <w:pPr>
        <w:pStyle w:val="BodyText"/>
      </w:pPr>
      <w:r>
        <w:t xml:space="preserve">Downstream Transport Emissions: 0.38 kgCO2e</w:t>
      </w:r>
    </w:p>
    <w:p>
      <w:pPr>
        <w:pStyle w:val="BodyText"/>
      </w:pPr>
      <w:r>
        <w:t xml:space="preserve">Use Phase Emissions: 25.00 kgCO2e</w:t>
      </w:r>
    </w:p>
    <w:p>
      <w:pPr>
        <w:pStyle w:val="BodyText"/>
      </w:pPr>
      <w:r>
        <w:t xml:space="preserve">End-of-Life Credits: -1.81 kgCO2e</w:t>
      </w:r>
    </w:p>
    <w:p>
      <w:pPr>
        <w:pStyle w:val="BodyText"/>
      </w:pPr>
      <w:r>
        <w:t xml:space="preserve">Total Scope 3 Emissions = 5.16 + 0.38 + 25.00 - 1.81 =</w:t>
      </w:r>
      <w:r>
        <w:t xml:space="preserve"> </w:t>
      </w:r>
      <w:r>
        <w:rPr>
          <w:bCs/>
          <w:b/>
        </w:rPr>
        <w:t xml:space="preserve">28.73 kgCO2e</w:t>
      </w:r>
    </w:p>
    <w:bookmarkEnd w:id="38"/>
    <w:bookmarkEnd w:id="39"/>
    <w:bookmarkStart w:id="40" w:name="X504f4a86e01fdcfa46a4589bb1b5e0cfaad8629"/>
    <w:p>
      <w:pPr>
        <w:pStyle w:val="Heading3"/>
      </w:pPr>
      <w:r>
        <w:t xml:space="preserve">3.4. 2026 Land Sector and Removals (LSR) Standard Update</w:t>
      </w:r>
    </w:p>
    <w:p>
      <w:pPr>
        <w:pStyle w:val="FirstParagraph"/>
      </w:pPr>
      <w:r>
        <w:t xml:space="preserve">The GHG Protocol\'s Land Sector and Removals (LSR) Standard, released on January 30, 2026,</w:t>
      </w:r>
      <w:r>
        <w:t xml:space="preserve"> </w:t>
      </w:r>
      <w:r>
        <w:t xml:space="preserve">provides accounting requirements and guidance for quantifying, reporting, and tracking</w:t>
      </w:r>
      <w:r>
        <w:t xml:space="preserve"> </w:t>
      </w:r>
      <w:r>
        <w:t xml:space="preserve">land emissions, CO₂ removals, and other key metrics.</w:t>
      </w:r>
      <w:r>
        <w:t xml:space="preserve"> </w:t>
      </w:r>
      <w:r>
        <w:t xml:space="preserve">While the detailed guidance for implementation is expected in Q2 2026, this analysis acknowledges its importance.</w:t>
      </w:r>
      <w:r>
        <w:t xml:space="preserve"> </w:t>
      </w:r>
      <w:r>
        <w:t xml:space="preserve">For this PCF, land use change emissions and specific carbon removals are not explicitly calculated due to the \'factory_gate\'</w:t>
      </w:r>
      <w:r>
        <w:t xml:space="preserve"> </w:t>
      </w:r>
      <w:r>
        <w:t xml:space="preserve">system boundary for direct operations and the nature of the product. However, it is recognized that</w:t>
      </w:r>
      <w:r>
        <w:t xml:space="preserve"> </w:t>
      </w:r>
      <w:r>
        <w:t xml:space="preserve">upstream agricultural or forestry practices related to certain raw materials (e.g., paper/cardboard)</w:t>
      </w:r>
      <w:r>
        <w:t xml:space="preserve"> </w:t>
      </w:r>
      <w:r>
        <w:t xml:space="preserve">within the supply chain would fall under LSR requirements for a more comprehensive Scope 3 assessment.</w:t>
      </w:r>
      <w:r>
        <w:t xml:space="preserve"> </w:t>
      </w:r>
      <w:r>
        <w:t xml:space="preserve">Future detailed analyses will incorporate specific LSR calculations as data availability improves and guidance matures.</w:t>
      </w:r>
    </w:p>
    <w:bookmarkEnd w:id="40"/>
    <w:bookmarkStart w:id="42" w:name="X371e03c281d29bd061e60704b2da79e649d0cde"/>
    <w:p>
      <w:pPr>
        <w:pStyle w:val="Heading3"/>
      </w:pPr>
      <w:r>
        <w:t xml:space="preserve">3.5. Overall Product Carbon Footprint (PCF) for dztdnxkilk</w:t>
      </w:r>
    </w:p>
    <w:p>
      <w:pPr>
        <w:pStyle w:val="FirstParagraph"/>
      </w:pPr>
      <w:r>
        <w:t xml:space="preserve">Sum of all scopes per functional unit (1.0 unit):</w:t>
      </w:r>
    </w:p>
    <w:p>
      <w:pPr>
        <w:numPr>
          <w:ilvl w:val="0"/>
          <w:numId w:val="1007"/>
        </w:numPr>
        <w:pStyle w:val="Compact"/>
      </w:pPr>
      <w:r>
        <w:t xml:space="preserve">Scope 1 (Direct Emissions): 0.00 kgCO2e</w:t>
      </w:r>
    </w:p>
    <w:p>
      <w:pPr>
        <w:numPr>
          <w:ilvl w:val="0"/>
          <w:numId w:val="1007"/>
        </w:numPr>
        <w:pStyle w:val="Compact"/>
      </w:pPr>
      <w:r>
        <w:t xml:space="preserve">Scope 2 (Purchased Electricity): 3.15 kgCO2e</w:t>
      </w:r>
    </w:p>
    <w:p>
      <w:pPr>
        <w:numPr>
          <w:ilvl w:val="0"/>
          <w:numId w:val="1007"/>
        </w:numPr>
        <w:pStyle w:val="Compact"/>
      </w:pPr>
      <w:r>
        <w:t xml:space="preserve">Scope 3 (Value Chain Emissions): 28.73 kgCO2e</w:t>
      </w:r>
    </w:p>
    <w:p>
      <w:pPr>
        <w:pStyle w:val="FirstParagraph"/>
      </w:pPr>
      <w:r>
        <w:t xml:space="preserve">Total PCF = 0.00 + 3.15 + 28.73 =</w:t>
      </w:r>
      <w:r>
        <w:t xml:space="preserve"> </w:t>
      </w:r>
      <w:r>
        <w:rPr>
          <w:bCs/>
          <w:b/>
        </w:rPr>
        <w:t xml:space="preserve">31.88 kgCO2e per unit of dztdnxkilk</w:t>
      </w:r>
    </w:p>
    <w:p>
      <w:pPr>
        <w:pStyle w:val="BodyText"/>
      </w:pPr>
      <w:r>
        <w:br/>
      </w:r>
    </w:p>
    <w:bookmarkStart w:id="41" w:name="summary-of-emissions-by-lifecycle-stage"/>
    <w:p>
      <w:pPr>
        <w:pStyle w:val="Heading4"/>
      </w:pPr>
      <w:r>
        <w:t xml:space="preserve">Summary of Emissions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Scope(s)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(Factory to Customer)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(Net 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31.88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p>
      <w:r>
        <w:pict>
          <v:rect style="width:0;height:1.5pt" o:hralign="center" o:hrstd="t" o:hr="t"/>
        </w:pict>
      </w:r>
    </w:p>
    <w:bookmarkStart w:id="46" w:name="review-and-reporting"/>
    <w:p>
      <w:pPr>
        <w:pStyle w:val="Heading2"/>
      </w:pPr>
      <w:r>
        <w:t xml:space="preserve">4. Review and Reporting</w:t>
      </w:r>
    </w:p>
    <w:p>
      <w:pPr>
        <w:pStyle w:val="FirstParagraph"/>
      </w:pPr>
      <w:r>
        <w:t xml:space="preserve">This section highlights the main emission hotspots and discusses the reliability of the assessment.</w:t>
      </w:r>
    </w:p>
    <w:bookmarkStart w:id="44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The primary emission hotspots for dztdnxkilk are identified as: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Use Phase (25.00 kgCO2e):</w:t>
      </w:r>
      <w:r>
        <w:t xml:space="preserve"> </w:t>
      </w:r>
      <w:r>
        <w:t xml:space="preserve">This stage accounts for the largest portion of the total PCF (approximately 78.4%).</w:t>
      </w:r>
      <w:r>
        <w:t xml:space="preserve"> </w:t>
      </w:r>
      <w:r>
        <w:t xml:space="preserve">The energy consumption during the product\'s lifespan is the dominant factor.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Material Acquisition &amp; Processing (5.16 kgCO2e):</w:t>
      </w:r>
      <w:r>
        <w:t xml:space="preserve"> </w:t>
      </w:r>
      <w:r>
        <w:t xml:space="preserve">Constitutes about 16.2% of the total footprint,</w:t>
      </w:r>
      <w:r>
        <w:t xml:space="preserve"> </w:t>
      </w:r>
      <w:r>
        <w:t xml:space="preserve">indicating that raw material choices and their associated manufacturing processes have a significant impact.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Manufacturing Energy (3.15 kgCO2e):</w:t>
      </w:r>
      <w:r>
        <w:t xml:space="preserve"> </w:t>
      </w:r>
      <w:r>
        <w:t xml:space="preserve">Represents approximately 9.9% of the total,</w:t>
      </w:r>
      <w:r>
        <w:t xml:space="preserve"> </w:t>
      </w:r>
      <w:r>
        <w:t xml:space="preserve">influenced by the grid electricity mix in China and the portion of renewable energy used.</w:t>
      </w:r>
    </w:p>
    <w:bookmarkEnd w:id="44"/>
    <w:bookmarkStart w:id="45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PCF analysis is high due to the utilization of specific, detailed Bill of Materials data</w:t>
      </w:r>
      <w:r>
        <w:t xml:space="preserve"> </w:t>
      </w:r>
      <w:r>
        <w:t xml:space="preserve">and adherence to the GHG Protocol. However, certain limitations and assumptions should be noted: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Placeholder Values:</w:t>
      </w:r>
      <w:r>
        <w:t xml:space="preserve"> </w:t>
      </w:r>
      <w:r>
        <w:t xml:space="preserve">Where specific data for transport distance, renewable energy usage,</w:t>
      </w:r>
      <w:r>
        <w:t xml:space="preserve"> </w:t>
      </w:r>
      <w:r>
        <w:t xml:space="preserve">energy intensity, lifespan, use-phase consumption, and recyclability were generic inputs</w:t>
      </w:r>
      <w:r>
        <w:t xml:space="preserve"> </w:t>
      </w:r>
      <w:r>
        <w:t xml:space="preserve">(e.g., "Select Mode", "Delivery Type", "ydvxzwomxq"), illustrative numerical values</w:t>
      </w:r>
      <w:r>
        <w:t xml:space="preserve"> </w:t>
      </w:r>
      <w:r>
        <w:t xml:space="preserve">were used for calculation. Actual values from</w:t>
      </w:r>
      <w:r>
        <w:t xml:space="preserve"> </w:t>
      </w:r>
      <w:r>
        <w:rPr>
          <w:bCs/>
          <w:b/>
        </w:rPr>
        <w:t xml:space="preserve">djeryunixg</w:t>
      </w:r>
      <w:r>
        <w:t xml:space="preserve"> </w:t>
      </w:r>
      <w:r>
        <w:t xml:space="preserve">would improve precision.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Emission Factor Databases:</w:t>
      </w:r>
      <w:r>
        <w:t xml:space="preserve"> </w:t>
      </w:r>
      <w:r>
        <w:t xml:space="preserve">Generic industry-standard emission factors were applied</w:t>
      </w:r>
      <w:r>
        <w:t xml:space="preserve"> </w:t>
      </w:r>
      <w:r>
        <w:t xml:space="preserve">(e.g., for electricity grids, transport). While robust, region- and technology-specific primary data</w:t>
      </w:r>
      <w:r>
        <w:t xml:space="preserve"> </w:t>
      </w:r>
      <w:r>
        <w:t xml:space="preserve">would further enhance accuracy.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Scope 1 Detail:</w:t>
      </w:r>
      <w:r>
        <w:t xml:space="preserve"> </w:t>
      </w:r>
      <w:r>
        <w:t xml:space="preserve">Direct Scope 1 emissions from the manufacturing facility (e.g., on-site fuel combustion)</w:t>
      </w:r>
      <w:r>
        <w:t xml:space="preserve"> </w:t>
      </w:r>
      <w:r>
        <w:t xml:space="preserve">were assumed negligible for the functional unit without specific data.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Upstream Scope 3 Transport:</w:t>
      </w:r>
      <w:r>
        <w:t xml:space="preserve"> </w:t>
      </w:r>
      <w:r>
        <w:t xml:space="preserve">Emissions from raw material transport to the factory are</w:t>
      </w:r>
      <w:r>
        <w:t xml:space="preserve"> </w:t>
      </w:r>
      <w:r>
        <w:t xml:space="preserve">assumed to be largely embedded within the material \'Total Carbon\' values.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The 2026 Land Sector and Removals Standard is acknowledged, but its full,</w:t>
      </w:r>
      <w:r>
        <w:t xml:space="preserve"> </w:t>
      </w:r>
      <w:r>
        <w:t xml:space="preserve">detailed application is beyond the scope of this high-level PCF report due to the product type</w:t>
      </w:r>
      <w:r>
        <w:t xml:space="preserve"> </w:t>
      </w:r>
      <w:r>
        <w:t xml:space="preserve">and lack of specific land-use data.</w:t>
      </w:r>
    </w:p>
    <w:bookmarkEnd w:id="45"/>
    <w:bookmarkEnd w:id="46"/>
    <w:p>
      <w:r>
        <w:pict>
          <v:rect style="width:0;height:1.5pt" o:hralign="center" o:hrstd="t" o:hr="t"/>
        </w:pict>
      </w:r>
    </w:p>
    <w:bookmarkStart w:id="47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the identified hotspots,</w:t>
      </w:r>
      <w:r>
        <w:t xml:space="preserve"> </w:t>
      </w:r>
      <w:r>
        <w:rPr>
          <w:bCs/>
          <w:b/>
        </w:rPr>
        <w:t xml:space="preserve">djeryunixg</w:t>
      </w:r>
      <w:r>
        <w:t xml:space="preserve"> </w:t>
      </w:r>
      <w:r>
        <w:t xml:space="preserve">can focus on the following areas: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designing more energy-efficient products.</w:t>
      </w:r>
      <w:r>
        <w:t xml:space="preserve"> </w:t>
      </w:r>
      <w:r>
        <w:t xml:space="preserve">Explore lower power consumption modes, longer product lifespans (extending</w:t>
      </w:r>
      <w:r>
        <w:t xml:space="preserve"> </w:t>
      </w:r>
      <w:r>
        <w:rPr>
          <w:bCs/>
          <w:b/>
        </w:rPr>
        <w:t xml:space="preserve">hdmlmerluy</w:t>
      </w:r>
      <w:r>
        <w:t xml:space="preserve">),</w:t>
      </w:r>
      <w:r>
        <w:t xml:space="preserve"> </w:t>
      </w:r>
      <w:r>
        <w:t xml:space="preserve">and consumer education on efficient product use.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alternative, lower-carbon materials for components</w:t>
      </w:r>
      <w:r>
        <w:t xml:space="preserve"> </w:t>
      </w:r>
      <w:r>
        <w:t xml:space="preserve">(e.g., replacing high-impact metals or plastics with recycled or bio-based alternatives),</w:t>
      </w:r>
      <w:r>
        <w:t xml:space="preserve"> </w:t>
      </w:r>
      <w:r>
        <w:t xml:space="preserve">especially focusing on the items contributing most to the initial material footprint.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Renewable Energy Sourcing:</w:t>
      </w:r>
      <w:r>
        <w:t xml:space="preserve"> </w:t>
      </w:r>
      <w:r>
        <w:t xml:space="preserve">Increase the proportion of renewable energy usage</w:t>
      </w:r>
      <w:r>
        <w:t xml:space="preserve"> </w:t>
      </w:r>
      <w:r>
        <w:t xml:space="preserve">(beyond</w:t>
      </w:r>
      <w:r>
        <w:t xml:space="preserve"> </w:t>
      </w:r>
      <w:r>
        <w:rPr>
          <w:bCs/>
          <w:b/>
        </w:rPr>
        <w:t xml:space="preserve">dxnjyvizhw</w:t>
      </w:r>
      <w:r>
        <w:t xml:space="preserve"> </w:t>
      </w:r>
      <w:r>
        <w:t xml:space="preserve">%) at the manufacturing facility in China, either through</w:t>
      </w:r>
      <w:r>
        <w:t xml:space="preserve"> </w:t>
      </w:r>
      <w:r>
        <w:t xml:space="preserve">on-site generation or purchasing renewable energy credits/contracts.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Logistics Efficiency:</w:t>
      </w:r>
      <w:r>
        <w:t xml:space="preserve"> </w:t>
      </w:r>
      <w:r>
        <w:t xml:space="preserve">Optimize transport routes, consider lower-emission transport modes</w:t>
      </w:r>
      <w:r>
        <w:t xml:space="preserve"> </w:t>
      </w:r>
      <w:r>
        <w:t xml:space="preserve">where feasible, and enhance load factors to reduce emissions from transportation (</w:t>
      </w:r>
      <w:r>
        <w:rPr>
          <w:bCs/>
          <w:b/>
        </w:rPr>
        <w:t xml:space="preserve">ydvxzwomxq</w:t>
      </w:r>
      <w:r>
        <w:t xml:space="preserve"> </w:t>
      </w:r>
      <w:r>
        <w:t xml:space="preserve">distance).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Further develop and promote</w:t>
      </w:r>
      <w:r>
        <w:t xml:space="preserve"> </w:t>
      </w:r>
      <w:r>
        <w:rPr>
          <w:bCs/>
          <w:b/>
        </w:rPr>
        <w:t xml:space="preserve">hhpgxqkzis</w:t>
      </w:r>
      <w:r>
        <w:t xml:space="preserve"> </w:t>
      </w:r>
      <w:r>
        <w:t xml:space="preserve">(Circular/Take-back Programs)</w:t>
      </w:r>
      <w:r>
        <w:t xml:space="preserve"> </w:t>
      </w:r>
      <w:r>
        <w:t xml:space="preserve">to maximize the recyclability (</w:t>
      </w:r>
      <w:r>
        <w:rPr>
          <w:bCs/>
          <w:b/>
        </w:rPr>
        <w:t xml:space="preserve">evrfqxwpxs</w:t>
      </w:r>
      <w:r>
        <w:t xml:space="preserve"> </w:t>
      </w:r>
      <w:r>
        <w:t xml:space="preserve">%) and reuse of product components at end-of-life.</w:t>
      </w:r>
    </w:p>
    <w:bookmarkEnd w:id="47"/>
    <w:p>
      <w:pPr>
        <w:pStyle w:val="FirstParagraph"/>
      </w:pPr>
      <w:r>
        <w:t xml:space="preserve">Confidential - Internal Use Only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dztdnxkilk</dc:title>
  <dc:creator/>
  <dc:description>Detailed Product Carbon Footprint (PCF) analysis report for product dztdnxkilk, conducted by Senior Sustainability Consultant imrpkrxwuq for djeryunixg, adhering to GHG Protocol standards and the 2026 LSR update.</dc:description>
  <dc:language>en</dc:language>
  <cp:keywords/>
  <dcterms:created xsi:type="dcterms:W3CDTF">2026-07-15T00:25:28Z</dcterms:created>
  <dcterms:modified xsi:type="dcterms:W3CDTF">2026-07-15T00:25:28Z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