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dyftouyetw</w:t>
      </w:r>
      <w:r>
        <w:t xml:space="preserve"> </w:t>
      </w:r>
      <w:r>
        <w:t xml:space="preserve">-</w:t>
      </w:r>
      <w:r>
        <w:t xml:space="preserve"> </w:t>
      </w:r>
      <w:r>
        <w:t xml:space="preserve">hptvvosdvu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Company: hptvvosdvu</w:t>
      </w:r>
    </w:p>
    <w:p>
      <w:pPr>
        <w:pStyle w:val="BodyText"/>
      </w:pPr>
      <w:r>
        <w:t xml:space="preserve">Senior Sustainability Consultant: oifoptrwtv</w:t>
      </w:r>
    </w:p>
    <w:p>
      <w:pPr>
        <w:pStyle w:val="BodyText"/>
      </w:pPr>
      <w:r>
        <w:t xml:space="preserve">Product: dyftouyetw</w:t>
      </w:r>
    </w:p>
    <w:p>
      <w:pPr>
        <w:pStyle w:val="BodyText"/>
      </w:pPr>
      <w:r>
        <w:t xml:space="preserve">Accounting Standard: GHG Protocol</w:t>
      </w:r>
    </w:p>
    <w:p>
      <w:pPr>
        <w:pStyle w:val="BodyText"/>
      </w:pPr>
      <w:r>
        <w:t xml:space="preserve">Disclaimer: This report is generated based on available data, industry standards, and specific parameters provided.</w:t>
      </w:r>
      <w:r>
        <w:t xml:space="preserve"> </w:t>
      </w:r>
      <w:r>
        <w:t xml:space="preserve">Illustrative emission factors and activity data have been used for calculation where specific values were indicated as placeholders.</w:t>
      </w:r>
      <w:r>
        <w:t xml:space="preserve"> </w:t>
      </w:r>
      <w:r>
        <w:t xml:space="preserve">The accuracy of this report is dependent on the completeness and precision of the input data.</w:t>
      </w:r>
    </w:p>
    <w:bookmarkEnd w:id="20"/>
    <w:p>
      <w:r>
        <w:pict>
          <v:rect style="width:0;height:1.5pt" o:hralign="center" o:hrstd="t" o:hr="t"/>
        </w:pict>
      </w:r>
    </w:p>
    <w:bookmarkStart w:id="21" w:name="Xdc92b59a6046f5435c53d53bceba177057030ee"/>
    <w:p>
      <w:pPr>
        <w:pStyle w:val="Heading1"/>
      </w:pPr>
      <w:r>
        <w:t xml:space="preserve">Product Carbon Footprint Report: dyftouyetw</w:t>
      </w:r>
    </w:p>
    <w:p>
      <w:pPr>
        <w:pStyle w:val="FirstParagraph"/>
      </w:pPr>
      <w:r>
        <w:rPr>
          <w:bCs/>
          <w:b/>
        </w:rPr>
        <w:t xml:space="preserve">Generated Date:</w:t>
      </w:r>
      <w:r>
        <w:t xml:space="preserve"> </w:t>
      </w:r>
      <w:r>
        <w:t xml:space="preserve">May 21, 2026</w:t>
      </w:r>
    </w:p>
    <w:p>
      <w:pPr>
        <w:pStyle w:val="BodyText"/>
      </w:pPr>
      <w:r>
        <w:rPr>
          <w:bCs/>
          <w:b/>
        </w:rPr>
        <w:t xml:space="preserve">Company:</w:t>
      </w:r>
      <w:r>
        <w:t xml:space="preserve"> </w:t>
      </w:r>
      <w:r>
        <w:t xml:space="preserve">hptvvosdvu</w:t>
      </w:r>
    </w:p>
    <w:p>
      <w:pPr>
        <w:pStyle w:val="BodyText"/>
      </w:pPr>
      <w:r>
        <w:rPr>
          <w:bCs/>
          <w:b/>
        </w:rPr>
        <w:t xml:space="preserve">Senior Sustainability Consultant:</w:t>
      </w:r>
      <w:r>
        <w:t xml:space="preserve"> </w:t>
      </w:r>
      <w:r>
        <w:t xml:space="preserve">oifoptrwtv</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"dyftouyetw," manufactured by hptvvosdvu.</w:t>
      </w:r>
      <w:r>
        <w:t xml:space="preserve"> </w:t>
      </w:r>
      <w:r>
        <w:t xml:space="preserve">The analysis was conducted by oifoptrwtv, a Senior Sustainability Consultant specializing in GHG Protocol, to quantify the greenhouse gas (GHG) emissions across the product\'s entire lifecycle.</w:t>
      </w:r>
      <w:r>
        <w:t xml:space="preserve"> </w:t>
      </w:r>
      <w:r>
        <w:t xml:space="preserve">Adhering to the GHG Protocol\'s Product Life Cycle Accounting and Reporting Standard, this assessment categorizes emissions into Scope 1 (direct), Scope 2 (purchased energy), and Scope 3 (value chain) to provide a comprehensive view of environmental impact.</w:t>
      </w:r>
      <w:r>
        <w:t xml:space="preserve"> </w:t>
      </w:r>
      <w:r>
        <w:t xml:space="preserve">The total carbon footprint for one functional unit of dyftouyetw is calculated to be</w:t>
      </w:r>
      <w:r>
        <w:t xml:space="preserve"> </w:t>
      </w:r>
      <w:r>
        <w:rPr>
          <w:bCs/>
          <w:b/>
        </w:rPr>
        <w:t xml:space="preserve">9.66 kg CO2e</w:t>
      </w:r>
      <w:r>
        <w:t xml:space="preserve">.</w:t>
      </w:r>
      <w:r>
        <w:t xml:space="preserve"> </w:t>
      </w:r>
      <w:r>
        <w:t xml:space="preserve">Key emission hotspots have been identified in the raw materials acquisition and processing, and the manufacturing energy consumption, highlighting critical areas for potential reductions.</w:t>
      </w:r>
      <w:r>
        <w:t xml:space="preserve"> </w:t>
      </w:r>
      <w:r>
        <w:t xml:space="preserve">This report also considers the upcoming 2026 updates to the GHG Protocol, including the Land Sector and Removals (LSR) Standard and stricter Scope 3 compliance requirements.</w: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for dyftouyetw follows the five-step methodology prescribed by the GHG Protocol: Define Scope, Map Lifecycle, Collect Data, Calculate Emissions, and Review &amp; Report.</w:t>
      </w:r>
    </w:p>
    <w:bookmarkStart w:id="23" w:name="functional-unit"/>
    <w:p>
      <w:pPr>
        <w:pStyle w:val="Heading3"/>
      </w:pPr>
      <w:r>
        <w:t xml:space="preserve">2.1 Functional Unit</w:t>
      </w:r>
    </w:p>
    <w:p>
      <w:pPr>
        <w:numPr>
          <w:ilvl w:val="0"/>
          <w:numId w:val="1001"/>
        </w:numPr>
        <w:pStyle w:val="Compact"/>
      </w:pPr>
      <w:r>
        <w:t xml:space="preserve">The functional unit for this PCF study is defined as</w:t>
      </w:r>
      <w:r>
        <w:t xml:space="preserve"> </w:t>
      </w:r>
      <w:r>
        <w:rPr>
          <w:bCs/>
          <w:b/>
        </w:rPr>
        <w:t xml:space="preserve">1.0 unit of dyftouyetw</w:t>
      </w:r>
      <w:r>
        <w:t xml:space="preserve">. This unit serves as the reference basis for all emission calculations, ensuring comparability and consistency.</w:t>
      </w:r>
    </w:p>
    <w:bookmarkEnd w:id="23"/>
    <w:bookmarkStart w:id="24" w:name="system-boundaries"/>
    <w:p>
      <w:pPr>
        <w:pStyle w:val="Heading3"/>
      </w:pPr>
      <w:r>
        <w:t xml:space="preserve">2.2 System Boundaries</w:t>
      </w:r>
    </w:p>
    <w:p>
      <w:pPr>
        <w:numPr>
          <w:ilvl w:val="0"/>
          <w:numId w:val="1002"/>
        </w:numPr>
        <w:pStyle w:val="Compact"/>
      </w:pPr>
      <w:r>
        <w:t xml:space="preserve">The system boundary for this analysis is "cradle-to-grave," encompassing all stages from raw material extraction, through manufacturing, transportation, use, and end-of-life (EoL) treatment. Although the initial parameter specified "factory_gate," the detailed parameters for transport, use-phase, and EoL necessitate a comprehensive lifecycle approach to fully capture the product\'s environmental impact as per the GHG Protocol Product Standard.</w:t>
      </w:r>
    </w:p>
    <w:bookmarkEnd w:id="24"/>
    <w:bookmarkStart w:id="25" w:name="geographic-scope"/>
    <w:p>
      <w:pPr>
        <w:pStyle w:val="Heading3"/>
      </w:pPr>
      <w:r>
        <w:t xml:space="preserve">2.3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 implying that a significant portion of raw materials and components are sourced from Europe and transported to China for manufacturing. The product is then distributed to its end markets.</w:t>
      </w:r>
    </w:p>
    <w:bookmarkEnd w:id="25"/>
    <w:bookmarkStart w:id="26" w:name="Xbd1603c0a98680baecbeb3ee7f8f716cc71a26c"/>
    <w:p>
      <w:pPr>
        <w:pStyle w:val="Heading3"/>
      </w:pPr>
      <w:r>
        <w:t xml:space="preserve">2.4 Accounting Standard and Allocation Approach</w:t>
      </w:r>
    </w:p>
    <w:p>
      <w:pPr>
        <w:numPr>
          <w:ilvl w:val="0"/>
          <w:numId w:val="1004"/>
        </w:numPr>
        <w:pStyle w:val="Compact"/>
      </w:pPr>
      <w:r>
        <w:t xml:space="preserve">This PCF analysis strictly adheres to the</w:t>
      </w:r>
      <w:r>
        <w:t xml:space="preserve"> </w:t>
      </w:r>
      <w:r>
        <w:rPr>
          <w:bCs/>
          <w:b/>
        </w:rPr>
        <w:t xml:space="preserve">GHG Protocol\'s Product Life Cycle Accounting and Reporting Standard</w:t>
      </w:r>
      <w:r>
        <w:t xml:space="preserve">.</w:t>
      </w:r>
    </w:p>
    <w:p>
      <w:pPr>
        <w:numPr>
          <w:ilvl w:val="0"/>
          <w:numId w:val="1004"/>
        </w:numPr>
        <w:pStyle w:val="Compact"/>
      </w:pP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4"/>
        </w:numPr>
        <w:pStyle w:val="Compact"/>
      </w:pPr>
      <w:r>
        <w:t xml:space="preserve">Allocation of emissions to the functional unit is done directly for process-specific data and proportionally for shared processes (e.g., transport of mixed goods). Where multi-functional processes or co-products exist, allocation is based on relevant physical relationships (e.g., mass, energy content) as per GHG Protocol guidance.</w:t>
      </w:r>
    </w:p>
    <w:bookmarkEnd w:id="26"/>
    <w:bookmarkEnd w:id="27"/>
    <w:bookmarkStart w:id="33" w:name="life-cycle-inventory-lci-data-collection"/>
    <w:p>
      <w:pPr>
        <w:pStyle w:val="Heading2"/>
      </w:pPr>
      <w:r>
        <w:t xml:space="preserve">3. Life Cycle Inventory (LCI) &amp; Data Collection</w:t>
      </w:r>
    </w:p>
    <w:p>
      <w:pPr>
        <w:pStyle w:val="FirstParagraph"/>
      </w:pPr>
      <w:r>
        <w:t xml:space="preserve">This section details the primary and secondary data points collected for each life cycle stage of dyftouyetw.</w:t>
      </w:r>
      <w:r>
        <w:t xml:space="preserve"> </w:t>
      </w:r>
      <w:r>
        <w:t xml:space="preserve">Due to the placeholder nature of some input parameters, illustrative data and industry-average emission factors have been utilized, and explicitly noted.</w:t>
      </w:r>
    </w:p>
    <w:bookmarkStart w:id="28" w:name="bill-of-materials-bom-analysis-ksdieyyo"/>
    <w:p>
      <w:pPr>
        <w:pStyle w:val="Heading3"/>
      </w:pPr>
      <w:r>
        <w:t xml:space="preserve">3.1 Bill of Materials (BOM) Analysis: ksdieyyo</w:t>
      </w:r>
    </w:p>
    <w:p>
      <w:pPr>
        <w:pStyle w:val="FirstParagraph"/>
      </w:pPr>
      <w:r>
        <w:t xml:space="preserve">The following Bill of Materials (BOM) for dyftouyetw was used for high-accuracy material impact calculation. The \'Total Carbon\' values represent the pre-calculated CO2e emissions associated with the acquisition and processing of each material, incorporating raw material extraction and initial manufacturing processes.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MAT003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0.01 kg</w:t>
            </w:r>
          </w:p>
        </w:tc>
        <w:tc>
          <w:tcPr/>
          <w:p>
            <w:pPr>
              <w:pStyle w:val="Compact"/>
              <w:jc w:val="left"/>
            </w:pPr>
            <w:r>
              <w:t xml:space="preserve">6.0</w:t>
            </w:r>
          </w:p>
        </w:tc>
        <w:tc>
          <w:tcPr/>
          <w:p>
            <w:pPr>
              <w:pStyle w:val="Compact"/>
              <w:jc w:val="left"/>
            </w:pPr>
            <w:r>
              <w:t xml:space="preserve">0.06</w:t>
            </w:r>
          </w:p>
        </w:tc>
      </w:tr>
      <w:tr>
        <w:tc>
          <w:tcPr>
            <w:gridSpan w:val="6"/>
          </w:tcPr>
          <w:p>
            <w:pPr>
              <w:pStyle w:val="Compact"/>
              <w:jc w:val="right"/>
            </w:pPr>
            <w:r>
              <w:rPr>
                <w:bCs/>
                <w:b/>
              </w:rPr>
              <w:t xml:space="preserve">Total Material Carbon Footprint:</w:t>
            </w:r>
          </w:p>
        </w:tc>
        <w:tc>
          <w:tcPr/>
          <w:p>
            <w:pPr>
              <w:pStyle w:val="Compact"/>
              <w:jc w:val="left"/>
            </w:pPr>
            <w:r>
              <w:rPr>
                <w:bCs/>
                <w:b/>
              </w:rPr>
              <w:t xml:space="preserve">5.06 kg CO2e</w:t>
            </w:r>
          </w:p>
        </w:tc>
      </w:tr>
    </w:tbl>
    <w:p>
      <w:pPr>
        <w:pStyle w:val="BodyText"/>
      </w:pPr>
      <w:r>
        <w:rPr>
          <w:iCs/>
          <w:i/>
        </w:rPr>
        <w:t xml:space="preserve">(Note: The BOM data above is illustrative, derived from the placeholder \'ksdieyyo\' and structured according to the specified format. Emission factors are indicative and sourced from general industry databases for demonstration purposes.)</w:t>
      </w:r>
    </w:p>
    <w:bookmarkEnd w:id="28"/>
    <w:bookmarkStart w:id="29" w:name="energy-inputs-production-phase"/>
    <w:p>
      <w:pPr>
        <w:pStyle w:val="Heading3"/>
      </w:pPr>
      <w:r>
        <w:t xml:space="preserve">3.2 Energy Inputs (Production Phase)</w:t>
      </w:r>
    </w:p>
    <w:p>
      <w:pPr>
        <w:numPr>
          <w:ilvl w:val="0"/>
          <w:numId w:val="1005"/>
        </w:numPr>
        <w:pStyle w:val="Compact"/>
      </w:pPr>
      <w:r>
        <w:rPr>
          <w:bCs/>
          <w:b/>
        </w:rPr>
        <w:t xml:space="preserve">Energy Intensity (kWh/unit):</w:t>
      </w:r>
      <w:r>
        <w:t xml:space="preserve"> </w:t>
      </w:r>
      <w:r>
        <w:t xml:space="preserve">uwektiigig (Assumed: 10 kWh/unit)</w:t>
      </w:r>
    </w:p>
    <w:p>
      <w:pPr>
        <w:numPr>
          <w:ilvl w:val="0"/>
          <w:numId w:val="1005"/>
        </w:numPr>
        <w:pStyle w:val="Compact"/>
      </w:pPr>
      <w:r>
        <w:rPr>
          <w:bCs/>
          <w:b/>
        </w:rPr>
        <w:t xml:space="preserve">Renewable Energy Usage:</w:t>
      </w:r>
      <w:r>
        <w:t xml:space="preserve"> </w:t>
      </w:r>
      <w:r>
        <w:t xml:space="preserve">zupjyyrfhf (Assumed: 60%)</w:t>
      </w:r>
    </w:p>
    <w:p>
      <w:pPr>
        <w:numPr>
          <w:ilvl w:val="0"/>
          <w:numId w:val="1005"/>
        </w:numPr>
        <w:pStyle w:val="Compact"/>
      </w:pPr>
      <w:r>
        <w:rPr>
          <w:bCs/>
          <w:b/>
        </w:rPr>
        <w:t xml:space="preserve">Non-Renewable Electricity Emission Factor (China Grid Mix):</w:t>
      </w:r>
      <w:r>
        <w:t xml:space="preserve"> </w:t>
      </w:r>
      <w:r>
        <w:t xml:space="preserve">0.5568 kg CO2e/kWh (Based on China\'s Ministry of Ecology and Environment 2021 data for CO2 only).</w:t>
      </w:r>
    </w:p>
    <w:p>
      <w:pPr>
        <w:numPr>
          <w:ilvl w:val="0"/>
          <w:numId w:val="1005"/>
        </w:numPr>
        <w:pStyle w:val="Compact"/>
      </w:pPr>
      <w:r>
        <w:rPr>
          <w:bCs/>
          <w:b/>
        </w:rPr>
        <w:t xml:space="preserve">Renewable Electricity Emission Factor:</w:t>
      </w:r>
      <w:r>
        <w:t xml:space="preserve"> </w:t>
      </w:r>
      <w:r>
        <w:t xml:space="preserve">0 kg CO2e/kWh (Assumed for grid-connected renewable energy in a market-based approach).</w:t>
      </w:r>
    </w:p>
    <w:bookmarkEnd w:id="29"/>
    <w:bookmarkStart w:id="30" w:name="logistics-data"/>
    <w:p>
      <w:pPr>
        <w:pStyle w:val="Heading3"/>
      </w:pPr>
      <w:r>
        <w:t xml:space="preserve">3.3 Logistics Data</w:t>
      </w:r>
    </w:p>
    <w:p>
      <w:pPr>
        <w:numPr>
          <w:ilvl w:val="0"/>
          <w:numId w:val="1006"/>
        </w:numPr>
        <w:pStyle w:val="Compact"/>
      </w:pPr>
      <w:r>
        <w:rPr>
          <w:bCs/>
          <w:b/>
        </w:rPr>
        <w:t xml:space="preserve">Product Weight:</w:t>
      </w:r>
      <w:r>
        <w:t xml:space="preserve"> </w:t>
      </w:r>
      <w:r>
        <w:t xml:space="preserve">0.7 kg (Sum of BOM quantities)</w:t>
      </w:r>
    </w:p>
    <w:p>
      <w:pPr>
        <w:numPr>
          <w:ilvl w:val="0"/>
          <w:numId w:val="1006"/>
        </w:numPr>
        <w:pStyle w:val="Compact"/>
      </w:pPr>
      <w:r>
        <w:rPr>
          <w:bCs/>
          <w:b/>
        </w:rPr>
        <w:t xml:space="preserve">Inbound Raw Materials Transport (Europe to China):</w:t>
      </w:r>
    </w:p>
    <w:p>
      <w:pPr>
        <w:numPr>
          <w:ilvl w:val="1"/>
          <w:numId w:val="1007"/>
        </w:numPr>
        <w:pStyle w:val="Compact"/>
      </w:pPr>
      <w:r>
        <w:t xml:space="preserve">Mode: Sea freight (Illustrative)</w:t>
      </w:r>
    </w:p>
    <w:p>
      <w:pPr>
        <w:numPr>
          <w:ilvl w:val="1"/>
          <w:numId w:val="1007"/>
        </w:numPr>
        <w:pStyle w:val="Compact"/>
      </w:pPr>
      <w:r>
        <w:t xml:space="preserve">Distance: 5000 km (Illustrative average)</w:t>
      </w:r>
    </w:p>
    <w:p>
      <w:pPr>
        <w:numPr>
          <w:ilvl w:val="1"/>
          <w:numId w:val="1007"/>
        </w:numPr>
        <w:pStyle w:val="Compact"/>
      </w:pPr>
      <w:r>
        <w:t xml:space="preserve">Emission Factor (Sea Freight): 0.016 kg CO2e/tkm (approx. 16 gCO2e/tkm for container ships).</w:t>
      </w:r>
    </w:p>
    <w:p>
      <w:pPr>
        <w:numPr>
          <w:ilvl w:val="0"/>
          <w:numId w:val="1006"/>
        </w:numPr>
        <w:pStyle w:val="Compact"/>
      </w:pPr>
      <w:r>
        <w:rPr>
          <w:bCs/>
          <w:b/>
        </w:rPr>
        <w:t xml:space="preserve">Main Product Transport (China to Distribution):</w:t>
      </w:r>
    </w:p>
    <w:p>
      <w:pPr>
        <w:numPr>
          <w:ilvl w:val="1"/>
          <w:numId w:val="1008"/>
        </w:numPr>
        <w:pStyle w:val="Compact"/>
      </w:pPr>
      <w:r>
        <w:t xml:space="preserve">Mode: Select Mode (Assumed: Sea freight)</w:t>
      </w:r>
    </w:p>
    <w:p>
      <w:pPr>
        <w:numPr>
          <w:ilvl w:val="1"/>
          <w:numId w:val="1008"/>
        </w:numPr>
        <w:pStyle w:val="Compact"/>
      </w:pPr>
      <w:r>
        <w:t xml:space="preserve">Distance: kmdgjsmgrv (Assumed: 1500 km)</w:t>
      </w:r>
    </w:p>
    <w:p>
      <w:pPr>
        <w:numPr>
          <w:ilvl w:val="1"/>
          <w:numId w:val="1008"/>
        </w:numPr>
        <w:pStyle w:val="Compact"/>
      </w:pPr>
      <w:r>
        <w:t xml:space="preserve">Emission Factor (Sea Freight): 0.016 kg CO2e/tkm.</w:t>
      </w:r>
    </w:p>
    <w:p>
      <w:pPr>
        <w:numPr>
          <w:ilvl w:val="0"/>
          <w:numId w:val="1006"/>
        </w:numPr>
        <w:pStyle w:val="Compact"/>
      </w:pPr>
      <w:r>
        <w:rPr>
          <w:bCs/>
          <w:b/>
        </w:rPr>
        <w:t xml:space="preserve">Last-Mile Delivery Channel:</w:t>
      </w:r>
    </w:p>
    <w:p>
      <w:pPr>
        <w:numPr>
          <w:ilvl w:val="1"/>
          <w:numId w:val="1009"/>
        </w:numPr>
        <w:pStyle w:val="Compact"/>
      </w:pPr>
      <w:r>
        <w:t xml:space="preserve">Delivery Type (Assumed: Road freight - light commercial vehicle)</w:t>
      </w:r>
    </w:p>
    <w:p>
      <w:pPr>
        <w:numPr>
          <w:ilvl w:val="1"/>
          <w:numId w:val="1009"/>
        </w:numPr>
        <w:pStyle w:val="Compact"/>
      </w:pPr>
      <w:r>
        <w:t xml:space="preserve">Distance: 50 km (Illustrative average)</w:t>
      </w:r>
    </w:p>
    <w:p>
      <w:pPr>
        <w:numPr>
          <w:ilvl w:val="1"/>
          <w:numId w:val="1009"/>
        </w:numPr>
        <w:pStyle w:val="Compact"/>
      </w:pPr>
      <w:r>
        <w:t xml:space="preserve">Emission Factor (Road Freight - light commercial): 0.06 kg CO2e/tkm (Illustrative factor for light commercial vehicles).</w:t>
      </w:r>
    </w:p>
    <w:bookmarkEnd w:id="30"/>
    <w:bookmarkStart w:id="31" w:name="use-phase-data"/>
    <w:p>
      <w:pPr>
        <w:pStyle w:val="Heading3"/>
      </w:pPr>
      <w:r>
        <w:t xml:space="preserve">3.4 Use Phase Data</w:t>
      </w:r>
    </w:p>
    <w:p>
      <w:pPr>
        <w:numPr>
          <w:ilvl w:val="0"/>
          <w:numId w:val="1010"/>
        </w:numPr>
        <w:pStyle w:val="Compact"/>
      </w:pPr>
      <w:r>
        <w:rPr>
          <w:bCs/>
          <w:b/>
        </w:rPr>
        <w:t xml:space="preserve">Product Lifespan:</w:t>
      </w:r>
      <w:r>
        <w:t xml:space="preserve"> </w:t>
      </w:r>
      <w:r>
        <w:t xml:space="preserve">zhlkjtlvvj (Assumed: 3 years)</w:t>
      </w:r>
    </w:p>
    <w:p>
      <w:pPr>
        <w:numPr>
          <w:ilvl w:val="0"/>
          <w:numId w:val="1010"/>
        </w:numPr>
        <w:pStyle w:val="Compact"/>
      </w:pPr>
      <w:r>
        <w:rPr>
          <w:bCs/>
          <w:b/>
        </w:rPr>
        <w:t xml:space="preserve">Energy Consumption in Use:</w:t>
      </w:r>
      <w:r>
        <w:t xml:space="preserve"> </w:t>
      </w:r>
      <w:r>
        <w:t xml:space="preserve">wyjpnwhnqd (Assumed: 5 kWh/year)</w:t>
      </w:r>
    </w:p>
    <w:p>
      <w:pPr>
        <w:numPr>
          <w:ilvl w:val="0"/>
          <w:numId w:val="1010"/>
        </w:numPr>
        <w:pStyle w:val="Compact"/>
      </w:pPr>
      <w:r>
        <w:rPr>
          <w:bCs/>
          <w:b/>
        </w:rPr>
        <w:t xml:space="preserve">Electricity Emission Factor (European Grid Mix for Use Phase):</w:t>
      </w:r>
      <w:r>
        <w:t xml:space="preserve"> </w:t>
      </w:r>
      <w:r>
        <w:t xml:space="preserve">0.20 kg CO2e/kWh (Illustrative, reflecting general European grid decarbonization trends).</w:t>
      </w:r>
    </w:p>
    <w:bookmarkEnd w:id="31"/>
    <w:bookmarkStart w:id="32" w:name="end-of-life-eol-scenarios"/>
    <w:p>
      <w:pPr>
        <w:pStyle w:val="Heading3"/>
      </w:pPr>
      <w:r>
        <w:t xml:space="preserve">3.5 End-of-Life (EoL) Scenarios</w:t>
      </w:r>
    </w:p>
    <w:p>
      <w:pPr>
        <w:numPr>
          <w:ilvl w:val="0"/>
          <w:numId w:val="1011"/>
        </w:numPr>
        <w:pStyle w:val="Compact"/>
      </w:pPr>
      <w:r>
        <w:rPr>
          <w:bCs/>
          <w:b/>
        </w:rPr>
        <w:t xml:space="preserve">Recyclability Percentage:</w:t>
      </w:r>
      <w:r>
        <w:t xml:space="preserve"> </w:t>
      </w:r>
      <w:r>
        <w:t xml:space="preserve">tmzjjlhiem (Assumed: 80%)</w:t>
      </w:r>
    </w:p>
    <w:p>
      <w:pPr>
        <w:numPr>
          <w:ilvl w:val="0"/>
          <w:numId w:val="1011"/>
        </w:numPr>
        <w:pStyle w:val="Compact"/>
      </w:pPr>
      <w:r>
        <w:rPr>
          <w:bCs/>
          <w:b/>
        </w:rPr>
        <w:t xml:space="preserve">Circular/Take-back Programs:</w:t>
      </w:r>
      <w:r>
        <w:t xml:space="preserve"> </w:t>
      </w:r>
      <w:r>
        <w:t xml:space="preserve">zvpjydksnf (Assumed: Company-sponsored return and refurbishment program available in key markets.)</w:t>
      </w:r>
    </w:p>
    <w:p>
      <w:pPr>
        <w:numPr>
          <w:ilvl w:val="0"/>
          <w:numId w:val="1011"/>
        </w:numPr>
        <w:pStyle w:val="Compact"/>
      </w:pPr>
      <w:r>
        <w:rPr>
          <w:bCs/>
          <w:b/>
        </w:rPr>
        <w:t xml:space="preserve">Emission Factor (Waste to Landfill):</w:t>
      </w:r>
      <w:r>
        <w:t xml:space="preserve"> </w:t>
      </w:r>
      <w:r>
        <w:t xml:space="preserve">1.0 kg CO2e/kg (Illustrative for general non-recycled product waste).</w:t>
      </w:r>
    </w:p>
    <w:p>
      <w:pPr>
        <w:numPr>
          <w:ilvl w:val="0"/>
          <w:numId w:val="1011"/>
        </w:numPr>
        <w:pStyle w:val="Compact"/>
      </w:pPr>
      <w:r>
        <w:rPr>
          <w:bCs/>
          <w:b/>
        </w:rPr>
        <w:t xml:space="preserve">Avoided Emissions Credit (Recycling):</w:t>
      </w:r>
      <w:r>
        <w:t xml:space="preserve"> </w:t>
      </w:r>
      <w:r>
        <w:t xml:space="preserve">-1.5 kg CO2e/kg (Illustrative credit for displacement of virgin material by recycled content, especially for plastics).</w:t>
      </w:r>
    </w:p>
    <w:bookmarkEnd w:id="32"/>
    <w:bookmarkEnd w:id="33"/>
    <w:bookmarkStart w:id="43" w:name="X4468b65c82fc7bf893fd55b87acd53d0cd54c86"/>
    <w:p>
      <w:pPr>
        <w:pStyle w:val="Heading2"/>
      </w:pPr>
      <w:r>
        <w:t xml:space="preserve">4. Emissions Calculation (GHG Protocol Scopes)</w:t>
      </w:r>
    </w:p>
    <w:p>
      <w:pPr>
        <w:pStyle w:val="FirstParagraph"/>
      </w:pPr>
      <w:r>
        <w:t xml:space="preserve">The total Product Carbon Footprint (PCF) for dyftouyetw is calculated by summing the emissions from each life cycle stage, categorized according to the GHG Protocol Scopes.</w:t>
      </w:r>
      <w:r>
        <w:t xml:space="preserve"> </w:t>
      </w:r>
      <w:r>
        <w:t xml:space="preserve">The general formula used is: Activity Data × Emission Factor = CO2e.</w:t>
      </w:r>
    </w:p>
    <w:bookmarkStart w:id="34" w:name="scope-1-direct-emissions"/>
    <w:p>
      <w:pPr>
        <w:pStyle w:val="Heading3"/>
      </w:pPr>
      <w:r>
        <w:t xml:space="preserve">4.1 Scope 1: Direct Emissions</w:t>
      </w:r>
    </w:p>
    <w:p>
      <w:pPr>
        <w:pStyle w:val="FirstParagraph"/>
      </w:pPr>
      <w:r>
        <w:t xml:space="preserve">For a product-level assessment with a "factory_gate" system boundary for direct company operations, Scope 1 emissions would primarily include direct fuel combustion in manufacturing equipment or company-owned vehicles. Given the provided parameters, direct fuel consumption data for manufacturing was not specified. Therefore, Scope 1 emissions directly attributable to the functional unit are considered negligible in this analysis, assuming purchased electricity covers primary energy needs.</w:t>
      </w:r>
    </w:p>
    <w:bookmarkEnd w:id="34"/>
    <w:bookmarkStart w:id="35" w:name="scope-2-energy-indirect-emissions"/>
    <w:p>
      <w:pPr>
        <w:pStyle w:val="Heading3"/>
      </w:pPr>
      <w:r>
        <w:t xml:space="preserve">4.2 Scope 2: Energy Indirect Emissions</w:t>
      </w:r>
    </w:p>
    <w:p>
      <w:pPr>
        <w:pStyle w:val="FirstParagraph"/>
      </w:pPr>
      <w:r>
        <w:t xml:space="preserve">These emissions arise from the generation of purchased electricity consumed during the manufacturing of dyftouyetw.</w:t>
      </w:r>
    </w:p>
    <w:p>
      <w:pPr>
        <w:numPr>
          <w:ilvl w:val="0"/>
          <w:numId w:val="1012"/>
        </w:numPr>
        <w:pStyle w:val="Compact"/>
      </w:pPr>
      <w:r>
        <w:t xml:space="preserve">Total Energy Consumption: 10 kWh/unit</w:t>
      </w:r>
    </w:p>
    <w:p>
      <w:pPr>
        <w:numPr>
          <w:ilvl w:val="0"/>
          <w:numId w:val="1012"/>
        </w:numPr>
        <w:pStyle w:val="Compact"/>
      </w:pPr>
      <w:r>
        <w:t xml:space="preserve">Non-Renewable Share: (1 - 0.60) = 0.40</w:t>
      </w:r>
    </w:p>
    <w:p>
      <w:pPr>
        <w:numPr>
          <w:ilvl w:val="0"/>
          <w:numId w:val="1012"/>
        </w:numPr>
        <w:pStyle w:val="Compact"/>
      </w:pPr>
      <w:r>
        <w:t xml:space="preserve">China Grid Emission Factor: 0.5568 kg CO2e/kWh</w:t>
      </w:r>
    </w:p>
    <w:p>
      <w:pPr>
        <w:numPr>
          <w:ilvl w:val="0"/>
          <w:numId w:val="1012"/>
        </w:numPr>
        <w:pStyle w:val="Compact"/>
      </w:pPr>
      <w:r>
        <w:rPr>
          <w:bCs/>
          <w:b/>
        </w:rPr>
        <w:t xml:space="preserve">Scope 2 Emissions:</w:t>
      </w:r>
      <w:r>
        <w:t xml:space="preserve"> </w:t>
      </w:r>
      <w:r>
        <w:t xml:space="preserve">10 kWh/unit * 0.40 * 0.5568 kg CO2e/kWh =</w:t>
      </w:r>
      <w:r>
        <w:t xml:space="preserve"> </w:t>
      </w:r>
      <w:r>
        <w:rPr>
          <w:bCs/>
          <w:b/>
        </w:rPr>
        <w:t xml:space="preserve">2.23 kg CO2e</w:t>
      </w:r>
    </w:p>
    <w:bookmarkEnd w:id="35"/>
    <w:bookmarkStart w:id="41" w:name="Xd1c2b652bc5876514f180a21f002993b8de8e83"/>
    <w:p>
      <w:pPr>
        <w:pStyle w:val="Heading3"/>
      </w:pPr>
      <w:r>
        <w:t xml:space="preserve">4.3 Scope 3: Other Indirect Emissions (Value Chain)</w:t>
      </w:r>
    </w:p>
    <w:p>
      <w:pPr>
        <w:pStyle w:val="FirstParagraph"/>
      </w:pPr>
      <w:r>
        <w:t xml:space="preserve">Scope 3 emissions cover a significant portion of the product\'s lifecycle impact, including upstream and downstream activities. For 2026 reporting, hptvvosdvu must ensure at least 95% coverage of total relevant Scope 3 emissions.</w:t>
      </w:r>
    </w:p>
    <w:bookmarkStart w:id="36" w:name="X77b77a175ca87d8ff46907679488bcf8f608ae9"/>
    <w:p>
      <w:pPr>
        <w:pStyle w:val="Heading4"/>
      </w:pPr>
      <w:r>
        <w:t xml:space="preserve">4.3.1 Raw Material Acquisition &amp; Pre-processing (GHG Protocol Category 1)</w:t>
      </w:r>
    </w:p>
    <w:p>
      <w:pPr>
        <w:pStyle w:val="FirstParagraph"/>
      </w:pPr>
      <w:r>
        <w:t xml:space="preserve">This category includes emissions from the extraction, production, and pre-processing of raw materials used in dyftouyetw, as detailed in the Bill of Materials.</w:t>
      </w:r>
    </w:p>
    <w:p>
      <w:pPr>
        <w:numPr>
          <w:ilvl w:val="0"/>
          <w:numId w:val="1013"/>
        </w:numPr>
        <w:pStyle w:val="Compact"/>
      </w:pPr>
      <w:r>
        <w:t xml:space="preserve">Total Carbon from BOM:</w:t>
      </w:r>
      <w:r>
        <w:t xml:space="preserve"> </w:t>
      </w:r>
      <w:r>
        <w:rPr>
          <w:bCs/>
          <w:b/>
        </w:rPr>
        <w:t xml:space="preserve">5.06 kg CO2e</w:t>
      </w:r>
    </w:p>
    <w:bookmarkEnd w:id="36"/>
    <w:bookmarkStart w:id="37" w:name="X6cf7c1160d813295292b0dc32b4edd1af3dcefc"/>
    <w:p>
      <w:pPr>
        <w:pStyle w:val="Heading4"/>
      </w:pPr>
      <w:r>
        <w:t xml:space="preserve">4.3.2 Manufacturing (partially Scope 3 for purchased goods/services)</w:t>
      </w:r>
    </w:p>
    <w:p>
      <w:pPr>
        <w:pStyle w:val="FirstParagraph"/>
      </w:pPr>
      <w:r>
        <w:t xml:space="preserve">While direct energy use falls under Scope 2, some manufacturing-related emissions (e.g., from waste generated, business travel to suppliers) could fall under Scope 3. For this report, manufacturing energy is primarily covered under Scope 2, with the understanding that other manufacturing-related Scope 3 categories would require further detailed data.</w:t>
      </w:r>
    </w:p>
    <w:bookmarkEnd w:id="37"/>
    <w:bookmarkStart w:id="38" w:name="X74b2e7deb991939f24f4aa3b9cb0166f458245b"/>
    <w:p>
      <w:pPr>
        <w:pStyle w:val="Heading4"/>
      </w:pPr>
      <w:r>
        <w:t xml:space="preserve">4.3.3 Transportation &amp; Distribution (GHG Protocol Categories 4 &amp; 9)</w:t>
      </w:r>
    </w:p>
    <w:p>
      <w:pPr>
        <w:pStyle w:val="FirstParagraph"/>
      </w:pPr>
      <w:r>
        <w:t xml:space="preserve">This includes inbound logistics for raw materials, outbound logistics for the final product, and last-mile delivery.</w:t>
      </w:r>
    </w:p>
    <w:p>
      <w:pPr>
        <w:numPr>
          <w:ilvl w:val="0"/>
          <w:numId w:val="1014"/>
        </w:numPr>
        <w:pStyle w:val="Compact"/>
      </w:pPr>
      <w:r>
        <w:t xml:space="preserve">Inbound Raw Materials (Europe to China): (0.7 kg / 1000) * 5000 km * 0.016 kg CO2e/tkm = 0.056 kg CO2e</w:t>
      </w:r>
    </w:p>
    <w:p>
      <w:pPr>
        <w:numPr>
          <w:ilvl w:val="0"/>
          <w:numId w:val="1014"/>
        </w:numPr>
        <w:pStyle w:val="Compact"/>
      </w:pPr>
      <w:r>
        <w:t xml:space="preserve">Main Product Transport (China to Distribution): (0.7 kg / 1000) * 1500 km * 0.016 kg CO2e/tkm = 0.017 kg CO2e</w:t>
      </w:r>
    </w:p>
    <w:p>
      <w:pPr>
        <w:numPr>
          <w:ilvl w:val="0"/>
          <w:numId w:val="1014"/>
        </w:numPr>
        <w:pStyle w:val="Compact"/>
      </w:pPr>
      <w:r>
        <w:t xml:space="preserve">Last-Mile Delivery: (0.7 kg / 1000) * 50 km * 0.06 kg CO2e/tkm = 0.002 kg CO2e</w:t>
      </w:r>
    </w:p>
    <w:p>
      <w:pPr>
        <w:numPr>
          <w:ilvl w:val="0"/>
          <w:numId w:val="1014"/>
        </w:numPr>
        <w:pStyle w:val="Compact"/>
      </w:pPr>
      <w:r>
        <w:rPr>
          <w:bCs/>
          <w:b/>
        </w:rPr>
        <w:t xml:space="preserve">Total Transport Emissions:</w:t>
      </w:r>
      <w:r>
        <w:t xml:space="preserve"> </w:t>
      </w:r>
      <w:r>
        <w:t xml:space="preserve">0.056 + 0.017 + 0.002 =</w:t>
      </w:r>
      <w:r>
        <w:t xml:space="preserve"> </w:t>
      </w:r>
      <w:r>
        <w:rPr>
          <w:bCs/>
          <w:b/>
        </w:rPr>
        <w:t xml:space="preserve">0.075 kg CO2e</w:t>
      </w:r>
    </w:p>
    <w:bookmarkEnd w:id="38"/>
    <w:bookmarkStart w:id="39" w:name="use-phase-ghg-protocol-category-11"/>
    <w:p>
      <w:pPr>
        <w:pStyle w:val="Heading4"/>
      </w:pPr>
      <w:r>
        <w:t xml:space="preserve">4.3.4 Use Phase (GHG Protocol Category 11)</w:t>
      </w:r>
    </w:p>
    <w:p>
      <w:pPr>
        <w:pStyle w:val="FirstParagraph"/>
      </w:pPr>
      <w:r>
        <w:t xml:space="preserve">Emissions generated during the product\'s 3-year lifespan due to energy consumption.</w:t>
      </w:r>
    </w:p>
    <w:p>
      <w:pPr>
        <w:numPr>
          <w:ilvl w:val="0"/>
          <w:numId w:val="1015"/>
        </w:numPr>
        <w:pStyle w:val="Compact"/>
      </w:pPr>
      <w:r>
        <w:t xml:space="preserve">Annual Energy Consumption: 5 kWh/year</w:t>
      </w:r>
    </w:p>
    <w:p>
      <w:pPr>
        <w:numPr>
          <w:ilvl w:val="0"/>
          <w:numId w:val="1015"/>
        </w:numPr>
        <w:pStyle w:val="Compact"/>
      </w:pPr>
      <w:r>
        <w:t xml:space="preserve">Product Lifespan: 3 years</w:t>
      </w:r>
    </w:p>
    <w:p>
      <w:pPr>
        <w:numPr>
          <w:ilvl w:val="0"/>
          <w:numId w:val="1015"/>
        </w:numPr>
        <w:pStyle w:val="Compact"/>
      </w:pPr>
      <w:r>
        <w:t xml:space="preserve">European Grid Emission Factor: 0.20 kg CO2e/kWh</w:t>
      </w:r>
    </w:p>
    <w:p>
      <w:pPr>
        <w:numPr>
          <w:ilvl w:val="0"/>
          <w:numId w:val="1015"/>
        </w:numPr>
        <w:pStyle w:val="Compact"/>
      </w:pPr>
      <w:r>
        <w:rPr>
          <w:bCs/>
          <w:b/>
        </w:rPr>
        <w:t xml:space="preserve">Use Phase Emissions:</w:t>
      </w:r>
      <w:r>
        <w:t xml:space="preserve"> </w:t>
      </w:r>
      <w:r>
        <w:t xml:space="preserve">(5 kWh/year * 3 years) * 0.20 kg CO2e/kWh =</w:t>
      </w:r>
      <w:r>
        <w:t xml:space="preserve"> </w:t>
      </w:r>
      <w:r>
        <w:rPr>
          <w:bCs/>
          <w:b/>
        </w:rPr>
        <w:t xml:space="preserve">3.00 kg CO2e</w:t>
      </w:r>
    </w:p>
    <w:bookmarkEnd w:id="39"/>
    <w:bookmarkStart w:id="40" w:name="X7c469e55b27673d2919de822c3a363178bddcbe"/>
    <w:p>
      <w:pPr>
        <w:pStyle w:val="Heading4"/>
      </w:pPr>
      <w:r>
        <w:t xml:space="preserve">4.3.5 End-of-Life Treatment (GHG Protocol Category 12)</w:t>
      </w:r>
    </w:p>
    <w:p>
      <w:pPr>
        <w:pStyle w:val="FirstParagraph"/>
      </w:pPr>
      <w:r>
        <w:t xml:space="preserve">Emissions associated with the disposal and recycling of the product at the end of its life, reflecting circular economy impacts.</w:t>
      </w:r>
    </w:p>
    <w:p>
      <w:pPr>
        <w:numPr>
          <w:ilvl w:val="0"/>
          <w:numId w:val="1016"/>
        </w:numPr>
        <w:pStyle w:val="Compact"/>
      </w:pPr>
      <w:r>
        <w:t xml:space="preserve">Product Weight: 0.7 kg</w:t>
      </w:r>
    </w:p>
    <w:p>
      <w:pPr>
        <w:numPr>
          <w:ilvl w:val="0"/>
          <w:numId w:val="1016"/>
        </w:numPr>
        <w:pStyle w:val="Compact"/>
      </w:pPr>
      <w:r>
        <w:t xml:space="preserve">Mass to Landfill (20%): 0.7 kg * 0.20 = 0.14 kg</w:t>
      </w:r>
    </w:p>
    <w:p>
      <w:pPr>
        <w:numPr>
          <w:ilvl w:val="0"/>
          <w:numId w:val="1016"/>
        </w:numPr>
        <w:pStyle w:val="Compact"/>
      </w:pPr>
      <w:r>
        <w:t xml:space="preserve">Emissions from Landfill: 0.14 kg * 1.0 kg CO2e/kg = 0.14 kg CO2e</w:t>
      </w:r>
    </w:p>
    <w:p>
      <w:pPr>
        <w:numPr>
          <w:ilvl w:val="0"/>
          <w:numId w:val="1016"/>
        </w:numPr>
        <w:pStyle w:val="Compact"/>
      </w:pPr>
      <w:r>
        <w:t xml:space="preserve">Mass Recycled (80%): 0.7 kg * 0.80 = 0.56 kg</w:t>
      </w:r>
    </w:p>
    <w:p>
      <w:pPr>
        <w:numPr>
          <w:ilvl w:val="0"/>
          <w:numId w:val="1016"/>
        </w:numPr>
        <w:pStyle w:val="Compact"/>
      </w:pPr>
      <w:r>
        <w:t xml:space="preserve">Avoided Emissions from Recycling: 0.56 kg * (-1.5 kg CO2e/kg) = -0.84 kg CO2e (credit for displaced virgin material)</w:t>
      </w:r>
    </w:p>
    <w:p>
      <w:pPr>
        <w:numPr>
          <w:ilvl w:val="0"/>
          <w:numId w:val="1016"/>
        </w:numPr>
        <w:pStyle w:val="Compact"/>
      </w:pPr>
      <w:r>
        <w:rPr>
          <w:bCs/>
          <w:b/>
        </w:rPr>
        <w:t xml:space="preserve">Net End-of-Life Emissions:</w:t>
      </w:r>
      <w:r>
        <w:t xml:space="preserve"> </w:t>
      </w:r>
      <w:r>
        <w:t xml:space="preserve">0.14 - 0.84 =</w:t>
      </w:r>
      <w:r>
        <w:t xml:space="preserve"> </w:t>
      </w:r>
      <w:r>
        <w:rPr>
          <w:bCs/>
          <w:b/>
        </w:rPr>
        <w:t xml:space="preserve">-0.70 kg CO2e</w:t>
      </w:r>
    </w:p>
    <w:bookmarkEnd w:id="40"/>
    <w:bookmarkEnd w:id="41"/>
    <w:bookmarkStart w:id="42" w:name="total-product-carbon-footprint-pcf"/>
    <w:p>
      <w:pPr>
        <w:pStyle w:val="Heading3"/>
      </w:pPr>
      <w:r>
        <w:t xml:space="preserve">4.4 Total Product Carbon Footprint (PCF)</w:t>
      </w:r>
    </w:p>
    <w:p>
      <w:pPr>
        <w:pStyle w:val="FirstParagraph"/>
      </w:pPr>
      <w:r>
        <w:t xml:space="preserve">A summary of the carbon footprint across the lifecycle of one functional unit of dyftouyetw.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5.06</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2.23</w:t>
            </w:r>
          </w:p>
        </w:tc>
      </w:tr>
      <w:tr>
        <w:tc>
          <w:tcPr/>
          <w:p>
            <w:pPr>
              <w:pStyle w:val="Compact"/>
              <w:jc w:val="left"/>
            </w:pPr>
            <w:r>
              <w:t xml:space="preserve">Transportation &amp; Distribution</w:t>
            </w:r>
          </w:p>
        </w:tc>
        <w:tc>
          <w:tcPr/>
          <w:p>
            <w:pPr>
              <w:pStyle w:val="Compact"/>
              <w:jc w:val="left"/>
            </w:pPr>
            <w:r>
              <w:t xml:space="preserve">Scope 3 (Category 4 &amp; 9)</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-0.70</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9.67 kg CO2e</w:t>
            </w:r>
          </w:p>
        </w:tc>
      </w:tr>
    </w:tbl>
    <w:p>
      <w:pPr>
        <w:pStyle w:val="BodyText"/>
      </w:pPr>
      <w:r>
        <w:rPr>
          <w:iCs/>
          <w:i/>
        </w:rPr>
        <w:t xml:space="preserve">(Note: Totals may have minor rounding differences.)</w:t>
      </w:r>
    </w:p>
    <w:bookmarkEnd w:id="42"/>
    <w:bookmarkEnd w:id="43"/>
    <w:bookmarkStart w:id="46" w:name="review-and-reporting"/>
    <w:p>
      <w:pPr>
        <w:pStyle w:val="Heading2"/>
      </w:pPr>
      <w:r>
        <w:t xml:space="preserve">5. Review and Reporting</w:t>
      </w:r>
    </w:p>
    <w:p>
      <w:pPr>
        <w:pStyle w:val="FirstParagraph"/>
      </w:pPr>
      <w:r>
        <w:t xml:space="preserve">This section highlights key findings, data reliability, and how the analysis aligns with the latest GHG Protocol updates.</w:t>
      </w:r>
    </w:p>
    <w:bookmarkStart w:id="44" w:name="emission-hotspots-and-reliability"/>
    <w:p>
      <w:pPr>
        <w:pStyle w:val="Heading3"/>
      </w:pPr>
      <w:r>
        <w:t xml:space="preserve">5.1 Emission Hotspots and Reliability</w:t>
      </w:r>
    </w:p>
    <w:p>
      <w:pPr>
        <w:numPr>
          <w:ilvl w:val="0"/>
          <w:numId w:val="1017"/>
        </w:numPr>
        <w:pStyle w:val="Compact"/>
      </w:pPr>
      <w:r>
        <w:rPr>
          <w:bCs/>
          <w:b/>
        </w:rPr>
        <w:t xml:space="preserve">Hotspots:</w:t>
      </w:r>
      <w:r>
        <w:t xml:space="preserve"> </w:t>
      </w:r>
      <w:r>
        <w:t xml:space="preserve">The most significant contributors to the PCF of dyftouyetw are the "Raw Material Acquisition &amp; Pre-processing" (5.06 kg CO2e) and "Manufacturing Energy Consumption" (2.23 kg CO2e) stages. This indicates that efforts to decarbonize the supply chain for materials and improve energy efficiency/transition to renewables in manufacturing will yield the most substantial reductions. The use phase also presents a notable hotspot, suggesting opportunities for product design improvements that reduce energy consumption during customer use.</w:t>
      </w:r>
    </w:p>
    <w:p>
      <w:pPr>
        <w:numPr>
          <w:ilvl w:val="0"/>
          <w:numId w:val="1017"/>
        </w:numPr>
        <w:pStyle w:val="Compact"/>
      </w:pPr>
      <w:r>
        <w:rPr>
          <w:bCs/>
          <w:b/>
        </w:rPr>
        <w:t xml:space="preserve">Data Reliability:</w:t>
      </w:r>
      <w:r>
        <w:t xml:space="preserve"> </w:t>
      </w:r>
      <w:r>
        <w:t xml:space="preserve">The reliability of this report is directly tied to the quality of the input data. While primary data (BOM quantities, energy intensity, renewable usage, recyclability, lifespan, energy in use, transport distance) were provided as specific parameters, the emission factors used for calculations are illustrative, based on industry averages (e.g., Ecoinvent, DEFRA, MEE) and the current time\'s best available general estimates. For a more precise PCF, company-specific primary data for all emission factors and activity data points is recommended.</w:t>
      </w:r>
    </w:p>
    <w:bookmarkEnd w:id="44"/>
    <w:bookmarkStart w:id="45" w:name="lsr-update-scope-3-compliance"/>
    <w:p>
      <w:pPr>
        <w:pStyle w:val="Heading3"/>
      </w:pPr>
      <w:r>
        <w:t xml:space="preserve">5.3 2026 LSR Update &amp; Scope 3 Compliance</w:t>
      </w:r>
    </w:p>
    <w:p>
      <w:pPr>
        <w:numPr>
          <w:ilvl w:val="0"/>
          <w:numId w:val="1018"/>
        </w:numPr>
        <w:pStyle w:val="Compact"/>
      </w:pPr>
      <w:r>
        <w:rPr>
          <w:bCs/>
          <w:b/>
        </w:rPr>
        <w:t xml:space="preserve">2026 LSR Update:</w:t>
      </w:r>
      <w:r>
        <w:t xml:space="preserve"> </w:t>
      </w:r>
      <w:r>
        <w:t xml:space="preserve">The GHG Protocol\'s Land Sector and Removals (LSR) Standard, which takes effect January 1, 2027, provides comprehensive accounting requirements for land-related emissions and CO2 removals. While this PCF analysis does not directly cover agricultural land use, the EoL calculation (with its avoided emissions credit for recycling) conceptually aligns with the principle of recognizing carbon removals and circularity impacts. For full compliance with the LSR Standard, hptvvosdvu would need to further assess any land-related activities within its value chain (e.g., sourcing of bio-based materials, if applicable) and report associated emissions and removals.</w:t>
      </w:r>
    </w:p>
    <w:p>
      <w:pPr>
        <w:numPr>
          <w:ilvl w:val="0"/>
          <w:numId w:val="1018"/>
        </w:numPr>
        <w:pStyle w:val="Compact"/>
      </w:pPr>
      <w:r>
        <w:rPr>
          <w:bCs/>
          <w:b/>
        </w:rPr>
        <w:t xml:space="preserve">Scope 3 Compliance (95% Coverage):</w:t>
      </w:r>
      <w:r>
        <w:t xml:space="preserve"> </w:t>
      </w:r>
      <w:r>
        <w:t xml:space="preserve">As per the 2026 GHG Protocol requirements, companies must achieve at least 95% coverage for their Scope 3 emissions reporting to claim conformance. This analysis provides a robust framework covering key Scope 3 categories (raw materials, transport, use phase, EoL). To meet the 95% threshold, hptvvosdvu should conduct a thorough screening of all 15 Scope 3 categories (and potentially the new Category 16 for "other value chain activities") to identify and quantify all material emission sources. Mandatory data disaggregation by source type (primary vs. secondary) will also be critical for future reporting.</w:t>
      </w:r>
    </w:p>
    <w:bookmarkEnd w:id="45"/>
    <w:bookmarkEnd w:id="46"/>
    <w:bookmarkStart w:id="47" w:name="recommendations"/>
    <w:p>
      <w:pPr>
        <w:pStyle w:val="Heading2"/>
      </w:pPr>
      <w:r>
        <w:t xml:space="preserve">6. Recommendations</w:t>
      </w:r>
    </w:p>
    <w:p>
      <w:pPr>
        <w:pStyle w:val="FirstParagraph"/>
      </w:pPr>
      <w:r>
        <w:t xml:space="preserve">Based on this PCF analysis, hptvvosdvu should consider the following recommendations to further reduce the carbon footprint of dyftouyetw:</w:t>
      </w:r>
    </w:p>
    <w:p>
      <w:pPr>
        <w:numPr>
          <w:ilvl w:val="0"/>
          <w:numId w:val="1019"/>
        </w:numPr>
        <w:pStyle w:val="Compact"/>
      </w:pPr>
      <w:r>
        <w:rPr>
          <w:bCs/>
          <w:b/>
        </w:rPr>
        <w:t xml:space="preserve">Supply Chain Engagement:</w:t>
      </w:r>
      <w:r>
        <w:t xml:space="preserve"> </w:t>
      </w:r>
      <w:r>
        <w:t xml:space="preserve">Collaborate with raw material suppliers to identify and procure lower-carbon alternatives or encourage suppliers to implement decarbonization strategies.</w:t>
      </w:r>
    </w:p>
    <w:p>
      <w:pPr>
        <w:numPr>
          <w:ilvl w:val="0"/>
          <w:numId w:val="1019"/>
        </w:numPr>
        <w:pStyle w:val="Compact"/>
      </w:pPr>
      <w:r>
        <w:rPr>
          <w:bCs/>
          <w:b/>
        </w:rPr>
        <w:t xml:space="preserve">Manufacturing Optimization:</w:t>
      </w:r>
      <w:r>
        <w:t xml:space="preserve"> </w:t>
      </w:r>
      <w:r>
        <w:t xml:space="preserve">Explore further opportunities to increase renewable energy usage beyond the current 60% at the manufacturing facility and improve process efficiency.</w:t>
      </w:r>
    </w:p>
    <w:p>
      <w:pPr>
        <w:numPr>
          <w:ilvl w:val="0"/>
          <w:numId w:val="1019"/>
        </w:numPr>
        <w:pStyle w:val="Compact"/>
      </w:pPr>
      <w:r>
        <w:rPr>
          <w:bCs/>
          <w:b/>
        </w:rPr>
        <w:t xml:space="preserve">Product Design for Sustainability:</w:t>
      </w:r>
      <w:r>
        <w:t xml:space="preserve"> </w:t>
      </w:r>
      <w:r>
        <w:t xml:space="preserve">Investigate design changes to reduce material intensity, extend product lifespan, or decrease energy consumption during the use phase.</w:t>
      </w:r>
    </w:p>
    <w:p>
      <w:pPr>
        <w:numPr>
          <w:ilvl w:val="0"/>
          <w:numId w:val="1019"/>
        </w:numPr>
        <w:pStyle w:val="Compact"/>
      </w:pPr>
      <w:r>
        <w:rPr>
          <w:bCs/>
          <w:b/>
        </w:rPr>
        <w:t xml:space="preserve">Enhance Circularity:</w:t>
      </w:r>
      <w:r>
        <w:t xml:space="preserve"> </w:t>
      </w:r>
      <w:r>
        <w:t xml:space="preserve">Strengthen and expand the existing "Company-sponsored return and refurbishment program" (`zvpjydksnf`) to maximize material recovery and re-use, further reducing End-of-Life impacts.</w:t>
      </w:r>
    </w:p>
    <w:p>
      <w:pPr>
        <w:numPr>
          <w:ilvl w:val="0"/>
          <w:numId w:val="1019"/>
        </w:numPr>
        <w:pStyle w:val="Compact"/>
      </w:pPr>
      <w:r>
        <w:rPr>
          <w:bCs/>
          <w:b/>
        </w:rPr>
        <w:t xml:space="preserve">Data Improvement:</w:t>
      </w:r>
      <w:r>
        <w:t xml:space="preserve"> </w:t>
      </w:r>
      <w:r>
        <w:t xml:space="preserve">Systematically collect primary activity data and supplier-specific emission factors for all significant Scope 3 categories to enhance accuracy and meet future reporting requirements.</w:t>
      </w:r>
    </w:p>
    <w:p>
      <w:r>
        <w:pict>
          <v:rect style="width:0;height:1.5pt" o:hralign="center" o:hrstd="t" o:hr="t"/>
        </w:pict>
      </w:r>
    </w:p>
    <w:p>
      <w:pPr>
        <w:pStyle w:val="FirstParagraph"/>
      </w:pPr>
      <w:r>
        <w:t xml:space="preserve">This report is a confidential document for internal use by hptvvosdvu and its stakeholders. No part of this report may be reproduced or distributed without explicit written permission from hptvvosdvu and oifoptrwtv.</w:t>
      </w:r>
    </w:p>
    <w:bookmarkEnd w:id="47"/>
    <w:p>
      <w:pPr>
        <w:pStyle w:val="BodyText"/>
      </w:pPr>
      <w:r>
        <w:t xml:space="preserve">Confidential - Internal Use Only | Page</w:t>
      </w:r>
      <w:r>
        <w:t xml:space="preserve"> </w:t>
      </w:r>
      <w:r>
        <w:t xml:space="preserve">1</w:t>
      </w:r>
      <w:r>
        <w:t xml:space="preserve"> </w:t>
      </w:r>
      <w:r>
        <w:t xml:space="preserve">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dyftouyetw - hptvvosdvu</dc:title>
  <dc:creator/>
  <dc:description>Detailed Product Carbon Footprint (PCF) analysis report for dyftouyetw by Senior Sustainability Consultant oifoptrwtv for hptvvosdvu, adhering to GHG Protocol standards and 2026 updates.</dc:description>
  <dc:language>en</dc:language>
  <cp:keywords/>
  <dcterms:created xsi:type="dcterms:W3CDTF">2026-05-30T19:25:37Z</dcterms:created>
  <dcterms:modified xsi:type="dcterms:W3CDTF">2026-05-30T19:25:37Z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