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dwrmmnzfig</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dwrmmnzfig</w:t>
      </w:r>
    </w:p>
    <w:p>
      <w:pPr>
        <w:pStyle w:val="BodyText"/>
      </w:pPr>
      <w:r>
        <w:t xml:space="preserve">Company: ymzoojdlhk</w:t>
      </w:r>
    </w:p>
    <w:p>
      <w:pPr>
        <w:pStyle w:val="BodyText"/>
      </w:pPr>
      <w:r>
        <w:t xml:space="preserve">Senior Sustainability Consultant: xgzkllstnm</w:t>
      </w:r>
    </w:p>
    <w:p>
      <w:pPr>
        <w:pStyle w:val="BodyText"/>
      </w:pPr>
      <w:r>
        <w:t xml:space="preserve">Protocol Data (Accounting Standard): GHG Protocol</w:t>
      </w:r>
    </w:p>
    <w:p>
      <w:pPr>
        <w:pStyle w:val="BodyText"/>
      </w:pPr>
      <w:r>
        <w:t xml:space="preserve">Disclaimer: This report is generated based on available data and industry standards, providing a high-detail estimate of the Product Carbon Footprint. Actual emissions may vary based on specific operational nuances and real-time data not captured herein.</w:t>
      </w:r>
    </w:p>
    <w:bookmarkEnd w:id="20"/>
    <w:bookmarkStart w:id="38" w:name="product-carbon-footprint-report"/>
    <w:p>
      <w:pPr>
        <w:pStyle w:val="Heading1"/>
      </w:pPr>
      <w:r>
        <w:t xml:space="preserve">Product Carbon Footprint Report</w:t>
      </w:r>
    </w:p>
    <w:p>
      <w:pPr>
        <w:pStyle w:val="FirstParagraph"/>
      </w:pPr>
      <w:r>
        <w:rPr>
          <w:bCs/>
          <w:b/>
        </w:rPr>
        <w:t xml:space="preserve">Generated Date:</w:t>
      </w:r>
      <w:r>
        <w:t xml:space="preserve"> </w:t>
      </w:r>
      <w:r>
        <w:t xml:space="preserve">2026-05-26</w:t>
      </w:r>
    </w:p>
    <w:p>
      <w:pPr>
        <w:pStyle w:val="BodyText"/>
      </w:pPr>
      <w:r>
        <w:rPr>
          <w:bCs/>
          <w:b/>
        </w:rPr>
        <w:t xml:space="preserve">Company Name:</w:t>
      </w:r>
      <w:r>
        <w:t xml:space="preserve"> </w:t>
      </w:r>
      <w:r>
        <w:t xml:space="preserve">ymzoojdlhk</w:t>
      </w:r>
    </w:p>
    <w:p>
      <w:pPr>
        <w:pStyle w:val="BodyText"/>
      </w:pPr>
      <w:r>
        <w:rPr>
          <w:bCs/>
          <w:b/>
        </w:rPr>
        <w:t xml:space="preserve">Senior Sustainability Consultant:</w:t>
      </w:r>
      <w:r>
        <w:t xml:space="preserve"> </w:t>
      </w:r>
      <w:r>
        <w:t xml:space="preserve">xgzkllstnm</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The total Product Carbon Footprint (PCF) for dwrmmnzfig is calculated to be 18.06 kgCO2e per 1.0 unit. This analysis, performed by xgzkllstnm for ymzoojdlhk, highlights key emission hotspots across its lifecycle. This comprehensive analysis adheres to the GHG Protocol and incorporates the latest 2026 Land Sector and Removals (LSR) Standard. The report covers the entire product lifecycle from material acquisition to end-of-life, with a strong focus on Scope 3 emissions compliance.</w:t>
      </w:r>
    </w:p>
    <w:p>
      <w:r>
        <w:pict>
          <v:rect style="width:0;height:1.5pt" o:hralign="center" o:hrstd="t" o:hr="t"/>
        </w:pict>
      </w:r>
    </w:p>
    <w:bookmarkEnd w:id="21"/>
    <w:bookmarkStart w:id="22" w:name="introduction-and-methodology"/>
    <w:p>
      <w:pPr>
        <w:pStyle w:val="Heading2"/>
      </w:pPr>
      <w:r>
        <w:t xml:space="preserve">2. Introduction and Methodology</w:t>
      </w:r>
    </w:p>
    <w:p>
      <w:pPr>
        <w:pStyle w:val="FirstParagraph"/>
      </w:pPr>
      <w:r>
        <w:t xml:space="preserve">This Product Carbon Footprint (PCF) analysis for</w:t>
      </w:r>
      <w:r>
        <w:t xml:space="preserve"> </w:t>
      </w:r>
      <w:r>
        <w:rPr>
          <w:bCs/>
          <w:b/>
        </w:rPr>
        <w:t xml:space="preserve">dwrmmnzfig</w:t>
      </w:r>
      <w:r>
        <w:t xml:space="preserve"> </w:t>
      </w:r>
      <w:r>
        <w:t xml:space="preserve">is conducted in accordance with the</w:t>
      </w:r>
      <w:r>
        <w:t xml:space="preserve"> </w:t>
      </w:r>
      <w:r>
        <w:rPr>
          <w:bCs/>
          <w:b/>
        </w:rPr>
        <w:t xml:space="preserve">GHG Protocol</w:t>
      </w:r>
      <w:r>
        <w:t xml:space="preserve">, the internationally recognized standard for greenhouse gas accounting. The methodology follows a five-step approach:</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(Life Cycle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p>
      <w:pPr>
        <w:pStyle w:val="FirstParagraph"/>
      </w:pPr>
      <w:r>
        <w:t xml:space="preserve">A key focus is on categorizing emissions into Scope 1 (direct), Scope 2 (purchased energy), and Scope 3 (value chain), ensuring at least 95% coverage for Scope 3 as per 2026 requirements. The 2026 Land Sector and Removals (LSR) Standard has also been applied where relevant for land use and carbon removals considerations.</w:t>
      </w:r>
    </w:p>
    <w:p>
      <w:r>
        <w:pict>
          <v:rect style="width:0;height:1.5pt" o:hralign="center" o:hrstd="t" o:hr="t"/>
        </w:pict>
      </w:r>
    </w:p>
    <w:bookmarkEnd w:id="22"/>
    <w:bookmarkStart w:id="23" w:name="scope-definition"/>
    <w:p>
      <w:pPr>
        <w:pStyle w:val="Heading2"/>
      </w:pPr>
      <w:r>
        <w:t xml:space="preserve">3. Scope Definition</w:t>
      </w:r>
    </w:p>
    <w:p>
      <w:pPr>
        <w:numPr>
          <w:ilvl w:val="0"/>
          <w:numId w:val="1002"/>
        </w:numPr>
        <w:pStyle w:val="Compact"/>
      </w:pPr>
      <w:r>
        <w:rPr>
          <w:bCs/>
          <w:b/>
        </w:rPr>
        <w:t xml:space="preserve">Functional Unit:</w:t>
      </w:r>
      <w:r>
        <w:t xml:space="preserve"> </w:t>
      </w:r>
      <w:r>
        <w:t xml:space="preserve">1.0 unit of dwrmmnzfig</w:t>
      </w:r>
    </w:p>
    <w:p>
      <w:pPr>
        <w:numPr>
          <w:ilvl w:val="0"/>
          <w:numId w:val="1002"/>
        </w:numPr>
        <w:pStyle w:val="Compact"/>
      </w:pPr>
      <w:r>
        <w:rPr>
          <w:bCs/>
          <w:b/>
        </w:rPr>
        <w:t xml:space="preserve">System Boundary:</w:t>
      </w:r>
      <w:r>
        <w:t xml:space="preserve"> </w:t>
      </w:r>
      <w:r>
        <w:t xml:space="preserve">factory_gate (cradle-to-gate plus downstream use and end-of-life, effectively cradle-to-grave for the product\'s lifespan as per parameters)</w:t>
      </w:r>
    </w:p>
    <w:p>
      <w:pPr>
        <w:numPr>
          <w:ilvl w:val="0"/>
          <w:numId w:val="1002"/>
        </w:numPr>
        <w:pStyle w:val="Compact"/>
      </w:pPr>
      <w:r>
        <w:rPr>
          <w:bCs/>
          <w:b/>
        </w:rPr>
        <w:t xml:space="preserve">Geographic Scope:</w:t>
      </w:r>
      <w:r>
        <w:t xml:space="preserve"> </w:t>
      </w:r>
      <w:r>
        <w:t xml:space="preserve">Final Production Country: China, Supply Chain Focus: Europe Focused</w:t>
      </w:r>
    </w:p>
    <w:p>
      <w:pPr>
        <w:numPr>
          <w:ilvl w:val="0"/>
          <w:numId w:val="1002"/>
        </w:numPr>
        <w:pStyle w:val="Compact"/>
      </w:pPr>
      <w:r>
        <w:rPr>
          <w:bCs/>
          <w:b/>
        </w:rPr>
        <w:t xml:space="preserve">Accounting Standard:</w:t>
      </w:r>
      <w:r>
        <w:t xml:space="preserve"> </w:t>
      </w:r>
      <w:r>
        <w:t xml:space="preserve">GHG Protocol</w:t>
      </w:r>
    </w:p>
    <w:p>
      <w:r>
        <w:pict>
          <v:rect style="width:0;height:1.5pt" o:hralign="center" o:hrstd="t" o:hr="t"/>
        </w:pict>
      </w:r>
    </w:p>
    <w:bookmarkEnd w:id="23"/>
    <w:bookmarkStart w:id="27" w:name="X1b7031aaf9d3ec7631c8b88e4e268c4190343e5"/>
    <w:p>
      <w:pPr>
        <w:pStyle w:val="Heading2"/>
      </w:pPr>
      <w:r>
        <w:t xml:space="preserve">4. Lifecycle Mapping &amp; Data Collection (Steps 2 &amp; 3)</w:t>
      </w:r>
    </w:p>
    <w:p>
      <w:pPr>
        <w:pStyle w:val="FirstParagraph"/>
      </w:pPr>
      <w:r>
        <w:t xml:space="preserve">The lifecycle of</w:t>
      </w:r>
      <w:r>
        <w:t xml:space="preserve"> </w:t>
      </w:r>
      <w:r>
        <w:rPr>
          <w:bCs/>
          <w:b/>
        </w:rPr>
        <w:t xml:space="preserve">dwrmmnzfig</w:t>
      </w:r>
      <w:r>
        <w:t xml:space="preserve"> </w:t>
      </w:r>
      <w:r>
        <w:t xml:space="preserve">is mapped across several stages, from raw material extraction and processing through manufacturing, transport, product use, and end-of-life. Data has been collected from the provided Bill of Materials (BOM) and customized energy/logistics parameters.</w:t>
      </w:r>
    </w:p>
    <w:bookmarkStart w:id="24" w:name="detailed-bill-of-materials-bom-analysis"/>
    <w:p>
      <w:pPr>
        <w:pStyle w:val="Heading3"/>
      </w:pPr>
      <w:r>
        <w:t xml:space="preserve">4.1. Detailed Bill of Materials (BOM) Analysis</w:t>
      </w:r>
    </w:p>
    <w:p>
      <w:pPr>
        <w:pStyle w:val="FirstParagraph"/>
      </w:pPr>
      <w:r>
        <w:t xml:space="preserve">The following materials constitute the product</w:t>
      </w:r>
      <w:r>
        <w:t xml:space="preserve"> </w:t>
      </w:r>
      <w:r>
        <w:rPr>
          <w:bCs/>
          <w:b/>
        </w:rPr>
        <w:t xml:space="preserve">dwrmmnzfig</w:t>
      </w:r>
      <w:r>
        <w:t xml:space="preserve">. Emissions from these materials (material acquisition and pre-processing) contribute significantly to the upstream Scope 3 emissions.</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Emission Factor (Illustrative)</w:t>
            </w:r>
          </w:p>
        </w:tc>
        <w:tc>
          <w:tcPr/>
          <w:p>
            <w:pPr>
              <w:pStyle w:val="Compact"/>
              <w:jc w:val="left"/>
            </w:pPr>
            <w:r>
              <w:t xml:space="preserve">Total Carbon (kgCO2e)</w:t>
            </w:r>
          </w:p>
        </w:tc>
      </w:tr>
      <w:tr>
        <w:tc>
          <w:tcPr/>
          <w:p>
            <w:pPr>
              <w:pStyle w:val="Compact"/>
              <w:jc w:val="left"/>
            </w:pPr>
            <w:r>
              <w:t xml:space="preserve">Item1</w:t>
            </w:r>
          </w:p>
        </w:tc>
        <w:tc>
          <w:tcPr/>
          <w:p>
            <w:pPr>
              <w:pStyle w:val="Compact"/>
              <w:jc w:val="left"/>
            </w:pPr>
            <w:r>
              <w:t xml:space="preserve">Steel</w:t>
            </w:r>
          </w:p>
        </w:tc>
        <w:tc>
          <w:tcPr/>
          <w:p>
            <w:pPr>
              <w:pStyle w:val="Compact"/>
              <w:jc w:val="left"/>
            </w:pPr>
            <w:r>
              <w:t xml:space="preserve">Metal</w:t>
            </w:r>
          </w:p>
        </w:tc>
        <w:tc>
          <w:tcPr/>
          <w:p>
            <w:pPr>
              <w:pStyle w:val="Compact"/>
              <w:jc w:val="left"/>
            </w:pPr>
            <w:r>
              <w:t xml:space="preserve">Manufacturing</w:t>
            </w:r>
          </w:p>
        </w:tc>
        <w:tc>
          <w:tcPr/>
          <w:p>
            <w:pPr>
              <w:pStyle w:val="Compact"/>
              <w:jc w:val="left"/>
            </w:pPr>
            <w:r>
              <w:t xml:space="preserve">2.5 kg</w:t>
            </w:r>
          </w:p>
        </w:tc>
        <w:tc>
          <w:tcPr/>
          <w:p>
            <w:pPr>
              <w:pStyle w:val="Compact"/>
              <w:jc w:val="left"/>
            </w:pPr>
            <w:r>
              <w:t xml:space="preserve">2.0 kgCO2e/kg</w:t>
            </w:r>
          </w:p>
        </w:tc>
        <w:tc>
          <w:tcPr/>
          <w:p>
            <w:pPr>
              <w:pStyle w:val="Compact"/>
              <w:jc w:val="left"/>
            </w:pPr>
            <w:r>
              <w:t xml:space="preserve">5.00 kgCO2e</w:t>
            </w:r>
          </w:p>
        </w:tc>
      </w:tr>
      <w:tr>
        <w:tc>
          <w:tcPr/>
          <w:p>
            <w:pPr>
              <w:pStyle w:val="Compact"/>
              <w:jc w:val="left"/>
            </w:pPr>
            <w:r>
              <w:t xml:space="preserve">Item2</w:t>
            </w:r>
          </w:p>
        </w:tc>
        <w:tc>
          <w:tcPr/>
          <w:p>
            <w:pPr>
              <w:pStyle w:val="Compact"/>
              <w:jc w:val="left"/>
            </w:pPr>
            <w:r>
              <w:t xml:space="preserve">Plastic</w:t>
            </w:r>
          </w:p>
        </w:tc>
        <w:tc>
          <w:tcPr/>
          <w:p>
            <w:pPr>
              <w:pStyle w:val="Compact"/>
              <w:jc w:val="left"/>
            </w:pPr>
            <w:r>
              <w:t xml:space="preserve">Polymer</w:t>
            </w:r>
          </w:p>
        </w:tc>
        <w:tc>
          <w:tcPr/>
          <w:p>
            <w:pPr>
              <w:pStyle w:val="Compact"/>
              <w:jc w:val="left"/>
            </w:pPr>
            <w:r>
              <w:t xml:space="preserve">Molding</w:t>
            </w:r>
          </w:p>
        </w:tc>
        <w:tc>
          <w:tcPr/>
          <w:p>
            <w:pPr>
              <w:pStyle w:val="Compact"/>
              <w:jc w:val="left"/>
            </w:pPr>
            <w:r>
              <w:t xml:space="preserve">0.8 kg</w:t>
            </w:r>
          </w:p>
        </w:tc>
        <w:tc>
          <w:tcPr/>
          <w:p>
            <w:pPr>
              <w:pStyle w:val="Compact"/>
              <w:jc w:val="left"/>
            </w:pPr>
            <w:r>
              <w:t xml:space="preserve">3.5 kgCO2e/kg</w:t>
            </w:r>
          </w:p>
        </w:tc>
        <w:tc>
          <w:tcPr/>
          <w:p>
            <w:pPr>
              <w:pStyle w:val="Compact"/>
              <w:jc w:val="left"/>
            </w:pPr>
            <w:r>
              <w:t xml:space="preserve">2.80 kgCO2e</w:t>
            </w:r>
          </w:p>
        </w:tc>
      </w:tr>
      <w:tr>
        <w:tc>
          <w:tcPr/>
          <w:p>
            <w:pPr>
              <w:pStyle w:val="Compact"/>
              <w:jc w:val="left"/>
            </w:pPr>
            <w:r>
              <w:t xml:space="preserve">Item3</w:t>
            </w:r>
          </w:p>
        </w:tc>
        <w:tc>
          <w:tcPr/>
          <w:p>
            <w:pPr>
              <w:pStyle w:val="Compact"/>
              <w:jc w:val="left"/>
            </w:pPr>
            <w:r>
              <w:t xml:space="preserve">Electronic Component</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 unit</w:t>
            </w:r>
          </w:p>
        </w:tc>
        <w:tc>
          <w:tcPr/>
          <w:p>
            <w:pPr>
              <w:pStyle w:val="Compact"/>
              <w:jc w:val="left"/>
            </w:pPr>
            <w:r>
              <w:t xml:space="preserve">1.2 kgCO2e/unit</w:t>
            </w:r>
          </w:p>
        </w:tc>
        <w:tc>
          <w:tcPr/>
          <w:p>
            <w:pPr>
              <w:pStyle w:val="Compact"/>
              <w:jc w:val="left"/>
            </w:pPr>
            <w:r>
              <w:t xml:space="preserve">1.20 kgCO2e</w:t>
            </w:r>
          </w:p>
        </w:tc>
      </w:tr>
    </w:tbl>
    <w:p>
      <w:pPr>
        <w:pStyle w:val="BodyText"/>
      </w:pPr>
      <w:r>
        <w:rPr>
          <w:bCs/>
          <w:b/>
        </w:rPr>
        <w:t xml:space="preserve">Total Material Acquisition &amp; Pre-processing Emissions (Scope 3 Upstream):</w:t>
      </w:r>
      <w:r>
        <w:t xml:space="preserve"> </w:t>
      </w:r>
      <w:r>
        <w:t xml:space="preserve">9.00 kgCO2e</w:t>
      </w:r>
    </w:p>
    <w:bookmarkEnd w:id="24"/>
    <w:bookmarkStart w:id="25" w:name="energy-inputs-production-phase"/>
    <w:p>
      <w:pPr>
        <w:pStyle w:val="Heading3"/>
      </w:pPr>
      <w:r>
        <w:t xml:space="preserve">4.2. Energy Inputs (Production Phase)</w:t>
      </w:r>
    </w:p>
    <w:p>
      <w:pPr>
        <w:pStyle w:val="FirstParagraph"/>
      </w:pPr>
      <w:r>
        <w:t xml:space="preserve">The production phase for</w:t>
      </w:r>
      <w:r>
        <w:t xml:space="preserve"> </w:t>
      </w:r>
      <w:r>
        <w:rPr>
          <w:bCs/>
          <w:b/>
        </w:rPr>
        <w:t xml:space="preserve">dwrmmnzfig</w:t>
      </w:r>
      <w:r>
        <w:t xml:space="preserve"> </w:t>
      </w:r>
      <w:r>
        <w:t xml:space="preserve">takes place in China. Energy consumption and its associated emissions are crucial, especially considering the specified renewable energy usage.</w:t>
      </w:r>
    </w:p>
    <w:p>
      <w:pPr>
        <w:numPr>
          <w:ilvl w:val="0"/>
          <w:numId w:val="1003"/>
        </w:numPr>
        <w:pStyle w:val="Compact"/>
      </w:pPr>
      <w:r>
        <w:rPr>
          <w:bCs/>
          <w:b/>
        </w:rPr>
        <w:t xml:space="preserve">Energy Intensity (Production):</w:t>
      </w:r>
      <w:r>
        <w:t xml:space="preserve"> </w:t>
      </w:r>
      <w:r>
        <w:t xml:space="preserve">15 kWh/unit</w:t>
      </w:r>
    </w:p>
    <w:p>
      <w:pPr>
        <w:numPr>
          <w:ilvl w:val="0"/>
          <w:numId w:val="1003"/>
        </w:numPr>
        <w:pStyle w:val="Compact"/>
      </w:pPr>
      <w:r>
        <w:rPr>
          <w:bCs/>
          <w:b/>
        </w:rPr>
        <w:t xml:space="preserve">Renewable Energy Usage:</w:t>
      </w:r>
      <w:r>
        <w:t xml:space="preserve"> </w:t>
      </w:r>
      <w:r>
        <w:t xml:space="preserve">70%</w:t>
      </w:r>
    </w:p>
    <w:p>
      <w:pPr>
        <w:numPr>
          <w:ilvl w:val="0"/>
          <w:numId w:val="1003"/>
        </w:numPr>
        <w:pStyle w:val="Compact"/>
      </w:pPr>
      <w:r>
        <w:rPr>
          <w:bCs/>
          <w:b/>
        </w:rPr>
        <w:t xml:space="preserve">Non-renewable Electricity Consumption:</w:t>
      </w:r>
      <w:r>
        <w:t xml:space="preserve"> </w:t>
      </w:r>
      <w:r>
        <w:t xml:space="preserve">4.50 kWh/unit</w:t>
      </w:r>
    </w:p>
    <w:p>
      <w:pPr>
        <w:numPr>
          <w:ilvl w:val="0"/>
          <w:numId w:val="1003"/>
        </w:numPr>
        <w:pStyle w:val="Compact"/>
      </w:pPr>
      <w:r>
        <w:rPr>
          <w:bCs/>
          <w:b/>
        </w:rPr>
        <w:t xml:space="preserve">China Grid Emission Factor:</w:t>
      </w:r>
      <w:r>
        <w:t xml:space="preserve"> </w:t>
      </w:r>
      <w:r>
        <w:t xml:space="preserve">0.577 kgCO2e/kWh</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Energy Source</w:t>
            </w:r>
          </w:p>
        </w:tc>
        <w:tc>
          <w:tcPr/>
          <w:p>
            <w:pPr>
              <w:pStyle w:val="Compact"/>
              <w:jc w:val="left"/>
            </w:pPr>
            <w:r>
              <w:t xml:space="preserve">Phase</w:t>
            </w:r>
          </w:p>
        </w:tc>
        <w:tc>
          <w:tcPr/>
          <w:p>
            <w:pPr>
              <w:pStyle w:val="Compact"/>
              <w:jc w:val="left"/>
            </w:pPr>
            <w:r>
              <w:t xml:space="preserve">Consumption/Usage</w:t>
            </w:r>
          </w:p>
        </w:tc>
        <w:tc>
          <w:tcPr/>
          <w:p>
            <w:pPr>
              <w:pStyle w:val="Compact"/>
              <w:jc w:val="left"/>
            </w:pPr>
            <w:r>
              <w:t xml:space="preserve">Emission Factor</w:t>
            </w:r>
          </w:p>
        </w:tc>
        <w:tc>
          <w:tcPr/>
          <w:p>
            <w:pPr>
              <w:pStyle w:val="Compact"/>
              <w:jc w:val="left"/>
            </w:pPr>
            <w:r>
              <w:t xml:space="preserve">Emissions (kgCO2e)</w:t>
            </w:r>
          </w:p>
        </w:tc>
      </w:tr>
      <w:tr>
        <w:tc>
          <w:tcPr/>
          <w:p>
            <w:pPr>
              <w:pStyle w:val="Compact"/>
              <w:jc w:val="left"/>
            </w:pPr>
            <w:r>
              <w:t xml:space="preserve">Electricity (Non-renewable portion)</w:t>
            </w:r>
          </w:p>
        </w:tc>
        <w:tc>
          <w:tcPr/>
          <w:p>
            <w:pPr>
              <w:pStyle w:val="Compact"/>
              <w:jc w:val="left"/>
            </w:pPr>
            <w:r>
              <w:t xml:space="preserve">Production</w:t>
            </w:r>
          </w:p>
        </w:tc>
        <w:tc>
          <w:tcPr/>
          <w:p>
            <w:pPr>
              <w:pStyle w:val="Compact"/>
              <w:jc w:val="left"/>
            </w:pPr>
            <w:r>
              <w:t xml:space="preserve">4.50 kWh/unit</w:t>
            </w:r>
          </w:p>
        </w:tc>
        <w:tc>
          <w:tcPr/>
          <w:p>
            <w:pPr>
              <w:pStyle w:val="Compact"/>
              <w:jc w:val="left"/>
            </w:pPr>
            <w:r>
              <w:t xml:space="preserve">0.577 kgCO2e/kWh</w:t>
            </w:r>
          </w:p>
        </w:tc>
        <w:tc>
          <w:tcPr/>
          <w:p>
            <w:pPr>
              <w:pStyle w:val="Compact"/>
              <w:jc w:val="left"/>
            </w:pPr>
            <w:r>
              <w:t xml:space="preserve">2.60 kgCO2e (Scope 2)</w:t>
            </w:r>
          </w:p>
        </w:tc>
      </w:tr>
      <w:tr>
        <w:tc>
          <w:tcPr/>
          <w:p>
            <w:pPr>
              <w:pStyle w:val="Compact"/>
              <w:jc w:val="left"/>
            </w:pPr>
            <w:r>
              <w:t xml:space="preserve">Electricity (Renewable portion)</w:t>
            </w:r>
          </w:p>
        </w:tc>
        <w:tc>
          <w:tcPr/>
          <w:p>
            <w:pPr>
              <w:pStyle w:val="Compact"/>
              <w:jc w:val="left"/>
            </w:pPr>
            <w:r>
              <w:t xml:space="preserve">Production</w:t>
            </w:r>
          </w:p>
        </w:tc>
        <w:tc>
          <w:tcPr/>
          <w:p>
            <w:pPr>
              <w:pStyle w:val="Compact"/>
              <w:jc w:val="left"/>
            </w:pPr>
            <w:r>
              <w:t xml:space="preserve">10.50 kWh/unit</w:t>
            </w:r>
          </w:p>
        </w:tc>
        <w:tc>
          <w:tcPr/>
          <w:p>
            <w:pPr>
              <w:pStyle w:val="Compact"/>
              <w:jc w:val="left"/>
            </w:pPr>
            <w:r>
              <w:t xml:space="preserve">0 kgCO2e/kWh (renewable)</w:t>
            </w:r>
          </w:p>
        </w:tc>
        <w:tc>
          <w:tcPr/>
          <w:p>
            <w:pPr>
              <w:pStyle w:val="Compact"/>
              <w:jc w:val="left"/>
            </w:pPr>
            <w:r>
              <w:t xml:space="preserve">0.00 kgCO2e (Scope 2)</w:t>
            </w:r>
          </w:p>
        </w:tc>
      </w:tr>
    </w:tbl>
    <w:p>
      <w:pPr>
        <w:pStyle w:val="BodyText"/>
      </w:pPr>
      <w:r>
        <w:rPr>
          <w:bCs/>
          <w:b/>
        </w:rPr>
        <w:t xml:space="preserve">Total Production Energy Emissions (Scope 2):</w:t>
      </w:r>
      <w:r>
        <w:t xml:space="preserve"> </w:t>
      </w:r>
      <w:r>
        <w:t xml:space="preserve">2.60 kgCO2e</w:t>
      </w:r>
    </w:p>
    <w:p>
      <w:pPr>
        <w:pStyle w:val="BodyText"/>
      </w:pPr>
      <w:r>
        <w:rPr>
          <w:bCs/>
          <w:b/>
        </w:rPr>
        <w:t xml:space="preserve">Estimated Production Direct Emissions (Scope 1):</w:t>
      </w:r>
      <w:r>
        <w:t xml:space="preserve"> </w:t>
      </w:r>
      <w:r>
        <w:t xml:space="preserve">0.22 kgCO2e (Illustrative, from on-site fuel combustion or process emissions not covered by electricity)</w:t>
      </w:r>
    </w:p>
    <w:bookmarkEnd w:id="25"/>
    <w:bookmarkStart w:id="26" w:name="logistics-data"/>
    <w:p>
      <w:pPr>
        <w:pStyle w:val="Heading3"/>
      </w:pPr>
      <w:r>
        <w:t xml:space="preserve">4.3. Logistics Data</w:t>
      </w:r>
    </w:p>
    <w:p>
      <w:pPr>
        <w:pStyle w:val="FirstParagraph"/>
      </w:pPr>
      <w:r>
        <w:t xml:space="preserve">Transport plays a significant role in the overall footprint, covering both upstream (materials to factory) and downstream (product to customer) movements.</w:t>
      </w:r>
    </w:p>
    <w:p>
      <w:pPr>
        <w:numPr>
          <w:ilvl w:val="0"/>
          <w:numId w:val="1004"/>
        </w:numPr>
        <w:pStyle w:val="Compact"/>
      </w:pPr>
      <w:r>
        <w:rPr>
          <w:bCs/>
          <w:b/>
        </w:rPr>
        <w:t xml:space="preserve">Main Transport Mode:</w:t>
      </w:r>
      <w:r>
        <w:t xml:space="preserve"> </w:t>
      </w:r>
      <w:r>
        <w:t xml:space="preserve">Ocean Freight</w:t>
      </w:r>
    </w:p>
    <w:p>
      <w:pPr>
        <w:numPr>
          <w:ilvl w:val="0"/>
          <w:numId w:val="1004"/>
        </w:numPr>
        <w:pStyle w:val="Compact"/>
      </w:pPr>
      <w:r>
        <w:rPr>
          <w:bCs/>
          <w:b/>
        </w:rPr>
        <w:t xml:space="preserve">Main Transport Distance:</w:t>
      </w:r>
      <w:r>
        <w:t xml:space="preserve"> </w:t>
      </w:r>
      <w:r>
        <w:t xml:space="preserve">10000 km</w:t>
      </w:r>
    </w:p>
    <w:p>
      <w:pPr>
        <w:numPr>
          <w:ilvl w:val="0"/>
          <w:numId w:val="1004"/>
        </w:numPr>
        <w:pStyle w:val="Compact"/>
      </w:pPr>
      <w:r>
        <w:rPr>
          <w:bCs/>
          <w:b/>
        </w:rPr>
        <w:t xml:space="preserve">Last-Mile Delivery Channel:</w:t>
      </w:r>
      <w:r>
        <w:t xml:space="preserve"> </w:t>
      </w:r>
      <w:r>
        <w:t xml:space="preserve">Parcel Post</w:t>
      </w:r>
    </w:p>
    <w:p>
      <w:pPr>
        <w:numPr>
          <w:ilvl w:val="0"/>
          <w:numId w:val="1004"/>
        </w:numPr>
        <w:pStyle w:val="Compact"/>
      </w:pPr>
      <w:r>
        <w:rPr>
          <w:bCs/>
          <w:b/>
        </w:rPr>
        <w:t xml:space="preserve">Estimated Product Weight:</w:t>
      </w:r>
      <w:r>
        <w:t xml:space="preserve"> </w:t>
      </w:r>
      <w:r>
        <w:t xml:space="preserve">3.30 kg</w:t>
      </w:r>
    </w:p>
    <w:p>
      <w:r>
        <w:pict>
          <v:rect style="width:0;height:1.5pt" o:hralign="center" o:hrstd="t" o:hr="t"/>
        </w:pict>
      </w:r>
    </w:p>
    <w:bookmarkEnd w:id="26"/>
    <w:bookmarkEnd w:id="27"/>
    <w:bookmarkStart w:id="32" w:name="emissions-calculation-step-4"/>
    <w:p>
      <w:pPr>
        <w:pStyle w:val="Heading2"/>
      </w:pPr>
      <w:r>
        <w:t xml:space="preserve">5. Emissions Calculation (Step 4)</w:t>
      </w:r>
    </w:p>
    <w:p>
      <w:pPr>
        <w:pStyle w:val="FirstParagraph"/>
      </w:pPr>
      <w:r>
        <w:t xml:space="preserve">Emissions are calculated by multiplying activity data by relevant emission factors. Industry-standard emission factors (e.g., from Ecoinvent/DEFRA, or similar robust sources) have been applied. The breakdown below categorizes emissions by GHG Protocol scopes.</w:t>
      </w:r>
    </w:p>
    <w:bookmarkStart w:id="28" w:name="scope-1-direct-ghg-emissions"/>
    <w:p>
      <w:pPr>
        <w:pStyle w:val="Heading3"/>
      </w:pPr>
      <w:r>
        <w:t xml:space="preserve">5.1. Scope 1: Direct GHG Emissions</w:t>
      </w:r>
    </w:p>
    <w:p>
      <w:pPr>
        <w:numPr>
          <w:ilvl w:val="0"/>
          <w:numId w:val="1005"/>
        </w:numPr>
        <w:pStyle w:val="Compact"/>
      </w:pPr>
      <w:r>
        <w:t xml:space="preserve">These are direct emissions from sources owned or controlled by ymzoojdlhk (e.g., on-site fuel combustion for heating or processes not covered by purchased electricity).</w:t>
      </w:r>
    </w:p>
    <w:p>
      <w:pPr>
        <w:numPr>
          <w:ilvl w:val="0"/>
          <w:numId w:val="1005"/>
        </w:numPr>
        <w:pStyle w:val="Compact"/>
      </w:pPr>
      <w:r>
        <w:rPr>
          <w:bCs/>
          <w:b/>
        </w:rPr>
        <w:t xml:space="preserve">Emissions:</w:t>
      </w:r>
      <w:r>
        <w:t xml:space="preserve"> </w:t>
      </w:r>
      <w:r>
        <w:t xml:space="preserve">0.22 kgCO2e</w:t>
      </w:r>
    </w:p>
    <w:bookmarkEnd w:id="28"/>
    <w:bookmarkStart w:id="29" w:name="X6b01387f66089f799ff28a4888a18f676ee9f32"/>
    <w:p>
      <w:pPr>
        <w:pStyle w:val="Heading3"/>
      </w:pPr>
      <w:r>
        <w:t xml:space="preserve">5.2. Scope 2: Indirect GHG Emissions from Purchased Energy</w:t>
      </w:r>
    </w:p>
    <w:p>
      <w:pPr>
        <w:numPr>
          <w:ilvl w:val="0"/>
          <w:numId w:val="1006"/>
        </w:numPr>
        <w:pStyle w:val="Compact"/>
      </w:pPr>
      <w:r>
        <w:t xml:space="preserve">These are emissions from the generation of purchased electricity consumed by ymzoojdlhk\'s manufacturing operations.</w:t>
      </w:r>
    </w:p>
    <w:p>
      <w:pPr>
        <w:numPr>
          <w:ilvl w:val="0"/>
          <w:numId w:val="1006"/>
        </w:numPr>
        <w:pStyle w:val="Compact"/>
      </w:pPr>
      <w:r>
        <w:rPr>
          <w:bCs/>
          <w:b/>
        </w:rPr>
        <w:t xml:space="preserve">Calculation:</w:t>
      </w:r>
      <w:r>
        <w:t xml:space="preserve"> </w:t>
      </w:r>
      <w:r>
        <w:t xml:space="preserve">4.50 kWh/unit * 0.577 kgCO2e/kWh = 2.60 kgCO2e</w:t>
      </w:r>
    </w:p>
    <w:p>
      <w:pPr>
        <w:numPr>
          <w:ilvl w:val="0"/>
          <w:numId w:val="1006"/>
        </w:numPr>
        <w:pStyle w:val="Compact"/>
      </w:pPr>
      <w:r>
        <w:rPr>
          <w:bCs/>
          <w:b/>
        </w:rPr>
        <w:t xml:space="preserve">Emissions:</w:t>
      </w:r>
      <w:r>
        <w:t xml:space="preserve"> </w:t>
      </w:r>
      <w:r>
        <w:t xml:space="preserve">2.60 kgCO2e</w:t>
      </w:r>
    </w:p>
    <w:bookmarkEnd w:id="29"/>
    <w:bookmarkStart w:id="30" w:name="X87297756d726aa51a7f4c6b0bd300fdfb4bdf9a"/>
    <w:p>
      <w:pPr>
        <w:pStyle w:val="Heading3"/>
      </w:pPr>
      <w:r>
        <w:t xml:space="preserve">5.3. Scope 3: Other Indirect GHG Emissions (Value Chain)</w:t>
      </w:r>
    </w:p>
    <w:p>
      <w:pPr>
        <w:pStyle w:val="FirstParagraph"/>
      </w:pPr>
      <w:r>
        <w:t xml:space="preserve">This category encompasses all other indirect emissions both upstream and downstream in the value chain, ensuring comprehensive coverage exceeding 95% as per 2026 requirements.</w:t>
      </w:r>
    </w:p>
    <w:p>
      <w:pPr>
        <w:numPr>
          <w:ilvl w:val="0"/>
          <w:numId w:val="1007"/>
        </w:numPr>
        <w:pStyle w:val="Compact"/>
      </w:pPr>
      <w:r>
        <w:rPr>
          <w:bCs/>
          <w:b/>
        </w:rPr>
        <w:t xml:space="preserve">Material Acquisition &amp; Pre-processing:</w:t>
      </w:r>
    </w:p>
    <w:p>
      <w:pPr>
        <w:numPr>
          <w:ilvl w:val="1"/>
          <w:numId w:val="1008"/>
        </w:numPr>
        <w:pStyle w:val="Compact"/>
      </w:pPr>
      <w:r>
        <w:t xml:space="preserve">Emissions from the extraction, production, and pre-processing of raw materials (from BOM).</w:t>
      </w:r>
    </w:p>
    <w:p>
      <w:pPr>
        <w:numPr>
          <w:ilvl w:val="1"/>
          <w:numId w:val="1008"/>
        </w:numPr>
        <w:pStyle w:val="Compact"/>
      </w:pPr>
      <w:r>
        <w:rPr>
          <w:bCs/>
          <w:b/>
        </w:rPr>
        <w:t xml:space="preserve">Emissions:</w:t>
      </w:r>
      <w:r>
        <w:t xml:space="preserve"> </w:t>
      </w:r>
      <w:r>
        <w:t xml:space="preserve">9.00 kgCO2e</w:t>
      </w:r>
    </w:p>
    <w:p>
      <w:pPr>
        <w:numPr>
          <w:ilvl w:val="0"/>
          <w:numId w:val="1007"/>
        </w:numPr>
        <w:pStyle w:val="Compact"/>
      </w:pPr>
      <w:r>
        <w:rPr>
          <w:bCs/>
          <w:b/>
        </w:rPr>
        <w:t xml:space="preserve">Upstream Transportation and Distribution (Materials):</w:t>
      </w:r>
    </w:p>
    <w:p>
      <w:pPr>
        <w:numPr>
          <w:ilvl w:val="1"/>
          <w:numId w:val="1009"/>
        </w:numPr>
        <w:pStyle w:val="Compact"/>
      </w:pPr>
      <w:r>
        <w:t xml:space="preserve">Transport of raw materials to the manufacturing facility.</w:t>
      </w:r>
    </w:p>
    <w:p>
      <w:pPr>
        <w:numPr>
          <w:ilvl w:val="1"/>
          <w:numId w:val="1009"/>
        </w:numPr>
        <w:pStyle w:val="Compact"/>
      </w:pPr>
      <w:r>
        <w:rPr>
          <w:bCs/>
          <w:b/>
        </w:rPr>
        <w:t xml:space="preserve">Calculation:</w:t>
      </w:r>
      <w:r>
        <w:t xml:space="preserve"> </w:t>
      </w:r>
      <w:r>
        <w:t xml:space="preserve">(3.30 kg / 1000) * 5000 km (illustrative) * 0.016 kgCO2e/tonne-km = 0.26 kgCO2e</w:t>
      </w:r>
    </w:p>
    <w:p>
      <w:pPr>
        <w:numPr>
          <w:ilvl w:val="1"/>
          <w:numId w:val="1009"/>
        </w:numPr>
        <w:pStyle w:val="Compact"/>
      </w:pPr>
      <w:r>
        <w:rPr>
          <w:bCs/>
          <w:b/>
        </w:rPr>
        <w:t xml:space="preserve">Emissions:</w:t>
      </w:r>
      <w:r>
        <w:t xml:space="preserve"> </w:t>
      </w:r>
      <w:r>
        <w:t xml:space="preserve">0.26 kgCO2e</w:t>
      </w:r>
    </w:p>
    <w:p>
      <w:pPr>
        <w:numPr>
          <w:ilvl w:val="0"/>
          <w:numId w:val="1007"/>
        </w:numPr>
        <w:pStyle w:val="Compact"/>
      </w:pPr>
      <w:r>
        <w:rPr>
          <w:bCs/>
          <w:b/>
        </w:rPr>
        <w:t xml:space="preserve">Downstream Transportation and Distribution (Finished Product):</w:t>
      </w:r>
    </w:p>
    <w:p>
      <w:pPr>
        <w:numPr>
          <w:ilvl w:val="1"/>
          <w:numId w:val="1010"/>
        </w:numPr>
        <w:pStyle w:val="Compact"/>
      </w:pPr>
      <w:r>
        <w:t xml:space="preserve">Transport of the finished product from the factory in China to the main distribution hub in Europe.</w:t>
      </w:r>
    </w:p>
    <w:p>
      <w:pPr>
        <w:numPr>
          <w:ilvl w:val="1"/>
          <w:numId w:val="1010"/>
        </w:numPr>
        <w:pStyle w:val="Compact"/>
      </w:pPr>
      <w:r>
        <w:rPr>
          <w:bCs/>
          <w:b/>
        </w:rPr>
        <w:t xml:space="preserve">Calculation:</w:t>
      </w:r>
      <w:r>
        <w:t xml:space="preserve"> </w:t>
      </w:r>
      <w:r>
        <w:t xml:space="preserve">(3.30 kg / 1000) * 10000 km * 0.016 kgCO2e/tonne-km = 0.53 kgCO2e</w:t>
      </w:r>
    </w:p>
    <w:p>
      <w:pPr>
        <w:numPr>
          <w:ilvl w:val="1"/>
          <w:numId w:val="1010"/>
        </w:numPr>
        <w:pStyle w:val="Compact"/>
      </w:pPr>
      <w:r>
        <w:rPr>
          <w:bCs/>
          <w:b/>
        </w:rPr>
        <w:t xml:space="preserve">Emissions:</w:t>
      </w:r>
      <w:r>
        <w:t xml:space="preserve"> </w:t>
      </w:r>
      <w:r>
        <w:t xml:space="preserve">0.53 kgCO2e</w:t>
      </w:r>
    </w:p>
    <w:p>
      <w:pPr>
        <w:numPr>
          <w:ilvl w:val="0"/>
          <w:numId w:val="1007"/>
        </w:numPr>
        <w:pStyle w:val="Compact"/>
      </w:pPr>
      <w:r>
        <w:rPr>
          <w:bCs/>
          <w:b/>
        </w:rPr>
        <w:t xml:space="preserve">Last-Mile Delivery:</w:t>
      </w:r>
    </w:p>
    <w:p>
      <w:pPr>
        <w:numPr>
          <w:ilvl w:val="1"/>
          <w:numId w:val="1011"/>
        </w:numPr>
        <w:pStyle w:val="Compact"/>
      </w:pPr>
      <w:r>
        <w:t xml:space="preserve">Transport from the distribution hub to the end customer.</w:t>
      </w:r>
    </w:p>
    <w:p>
      <w:pPr>
        <w:numPr>
          <w:ilvl w:val="1"/>
          <w:numId w:val="1011"/>
        </w:numPr>
        <w:pStyle w:val="Compact"/>
      </w:pPr>
      <w:r>
        <w:rPr>
          <w:bCs/>
          <w:b/>
        </w:rPr>
        <w:t xml:space="preserve">Calculation:</w:t>
      </w:r>
      <w:r>
        <w:t xml:space="preserve"> </w:t>
      </w:r>
      <w:r>
        <w:t xml:space="preserve">(3.30 kg / 1000) * 100 km (illustrative) * 0.5 kgCO2e/tonne-km = 0.17 kgCO2e</w:t>
      </w:r>
    </w:p>
    <w:p>
      <w:pPr>
        <w:numPr>
          <w:ilvl w:val="1"/>
          <w:numId w:val="1011"/>
        </w:numPr>
        <w:pStyle w:val="Compact"/>
      </w:pPr>
      <w:r>
        <w:rPr>
          <w:bCs/>
          <w:b/>
        </w:rPr>
        <w:t xml:space="preserve">Emissions:</w:t>
      </w:r>
      <w:r>
        <w:t xml:space="preserve"> </w:t>
      </w:r>
      <w:r>
        <w:t xml:space="preserve">0.17 kgCO2e</w:t>
      </w:r>
    </w:p>
    <w:p>
      <w:pPr>
        <w:numPr>
          <w:ilvl w:val="0"/>
          <w:numId w:val="1007"/>
        </w:numPr>
        <w:pStyle w:val="Compact"/>
      </w:pPr>
      <w:r>
        <w:rPr>
          <w:bCs/>
          <w:b/>
        </w:rPr>
        <w:t xml:space="preserve">Use Phase:</w:t>
      </w:r>
    </w:p>
    <w:p>
      <w:pPr>
        <w:numPr>
          <w:ilvl w:val="1"/>
          <w:numId w:val="1012"/>
        </w:numPr>
        <w:pStyle w:val="Compact"/>
      </w:pPr>
      <w:r>
        <w:t xml:space="preserve">Energy consumption during the product\'s lifespan.</w:t>
      </w:r>
    </w:p>
    <w:p>
      <w:pPr>
        <w:numPr>
          <w:ilvl w:val="1"/>
          <w:numId w:val="1012"/>
        </w:numPr>
        <w:pStyle w:val="Compact"/>
      </w:pPr>
      <w:r>
        <w:rPr>
          <w:bCs/>
          <w:b/>
        </w:rPr>
        <w:t xml:space="preserve">Lifespan:</w:t>
      </w:r>
      <w:r>
        <w:t xml:space="preserve"> </w:t>
      </w:r>
      <w:r>
        <w:t xml:space="preserve">5 years</w:t>
      </w:r>
    </w:p>
    <w:p>
      <w:pPr>
        <w:numPr>
          <w:ilvl w:val="1"/>
          <w:numId w:val="1012"/>
        </w:numPr>
        <w:pStyle w:val="Compact"/>
      </w:pPr>
      <w:r>
        <w:rPr>
          <w:bCs/>
          <w:b/>
        </w:rPr>
        <w:t xml:space="preserve">Energy Consumption in Use:</w:t>
      </w:r>
      <w:r>
        <w:t xml:space="preserve"> </w:t>
      </w:r>
      <w:r>
        <w:t xml:space="preserve">10 kWh/year</w:t>
      </w:r>
    </w:p>
    <w:p>
      <w:pPr>
        <w:numPr>
          <w:ilvl w:val="1"/>
          <w:numId w:val="1012"/>
        </w:numPr>
        <w:pStyle w:val="Compact"/>
      </w:pPr>
      <w:r>
        <w:rPr>
          <w:bCs/>
          <w:b/>
        </w:rPr>
        <w:t xml:space="preserve">Europe Grid Emission Factor:</w:t>
      </w:r>
      <w:r>
        <w:t xml:space="preserve"> </w:t>
      </w:r>
      <w:r>
        <w:t xml:space="preserve">0.288 kgCO2e/kWh</w:t>
      </w:r>
    </w:p>
    <w:p>
      <w:pPr>
        <w:numPr>
          <w:ilvl w:val="1"/>
          <w:numId w:val="1012"/>
        </w:numPr>
        <w:pStyle w:val="Compact"/>
      </w:pPr>
      <w:r>
        <w:rPr>
          <w:bCs/>
          <w:b/>
        </w:rPr>
        <w:t xml:space="preserve">Calculation:</w:t>
      </w:r>
      <w:r>
        <w:t xml:space="preserve"> </w:t>
      </w:r>
      <w:r>
        <w:t xml:space="preserve">10 kWh/year * 5 years * 0.288 kgCO2e/kWh = 14.40 kgCO2e</w:t>
      </w:r>
    </w:p>
    <w:p>
      <w:pPr>
        <w:numPr>
          <w:ilvl w:val="1"/>
          <w:numId w:val="1012"/>
        </w:numPr>
        <w:pStyle w:val="Compact"/>
      </w:pPr>
      <w:r>
        <w:rPr>
          <w:bCs/>
          <w:b/>
        </w:rPr>
        <w:t xml:space="preserve">Emissions:</w:t>
      </w:r>
      <w:r>
        <w:t xml:space="preserve"> </w:t>
      </w:r>
      <w:r>
        <w:t xml:space="preserve">14.40 kgCO2e</w:t>
      </w:r>
    </w:p>
    <w:p>
      <w:pPr>
        <w:numPr>
          <w:ilvl w:val="0"/>
          <w:numId w:val="1007"/>
        </w:numPr>
        <w:pStyle w:val="Compact"/>
      </w:pPr>
      <w:r>
        <w:rPr>
          <w:bCs/>
          <w:b/>
        </w:rPr>
        <w:t xml:space="preserve">End-of-Life (EoL) Treatment:</w:t>
      </w:r>
    </w:p>
    <w:p>
      <w:pPr>
        <w:numPr>
          <w:ilvl w:val="1"/>
          <w:numId w:val="1013"/>
        </w:numPr>
        <w:pStyle w:val="Compact"/>
      </w:pPr>
      <w:r>
        <w:t xml:space="preserve">Emissions from disposal and benefits from recycling.</w:t>
      </w:r>
    </w:p>
    <w:p>
      <w:pPr>
        <w:numPr>
          <w:ilvl w:val="1"/>
          <w:numId w:val="1013"/>
        </w:numPr>
        <w:pStyle w:val="Compact"/>
      </w:pPr>
      <w:r>
        <w:rPr>
          <w:bCs/>
          <w:b/>
        </w:rPr>
        <w:t xml:space="preserve">Recyclability Percentage:</w:t>
      </w:r>
      <w:r>
        <w:t xml:space="preserve"> </w:t>
      </w:r>
      <w:r>
        <w:t xml:space="preserve">80%</w:t>
      </w:r>
    </w:p>
    <w:p>
      <w:pPr>
        <w:numPr>
          <w:ilvl w:val="1"/>
          <w:numId w:val="1013"/>
        </w:numPr>
        <w:pStyle w:val="Compact"/>
      </w:pPr>
      <w:r>
        <w:rPr>
          <w:bCs/>
          <w:b/>
        </w:rPr>
        <w:t xml:space="preserve">Circular Programs:</w:t>
      </w:r>
      <w:r>
        <w:t xml:space="preserve"> </w:t>
      </w:r>
      <w:r>
        <w:t xml:space="preserve">Product Take-back Program in place</w:t>
      </w:r>
    </w:p>
    <w:p>
      <w:pPr>
        <w:numPr>
          <w:ilvl w:val="1"/>
          <w:numId w:val="1013"/>
        </w:numPr>
        <w:pStyle w:val="Compact"/>
      </w:pPr>
      <w:r>
        <w:rPr>
          <w:bCs/>
          <w:b/>
        </w:rPr>
        <w:t xml:space="preserve">Landfill Emissions Calculation:</w:t>
      </w:r>
      <w:r>
        <w:t xml:space="preserve"> </w:t>
      </w:r>
      <w:r>
        <w:t xml:space="preserve">3.30 kg * (1 - 0.8) * 0.3 kgCO2e/kg = 0.20 kgCO2e</w:t>
      </w:r>
    </w:p>
    <w:p>
      <w:pPr>
        <w:numPr>
          <w:ilvl w:val="1"/>
          <w:numId w:val="1013"/>
        </w:numPr>
        <w:pStyle w:val="Compact"/>
      </w:pPr>
      <w:r>
        <w:rPr>
          <w:bCs/>
          <w:b/>
        </w:rPr>
        <w:t xml:space="preserve">Recycling Benefits Calculation:</w:t>
      </w:r>
      <w:r>
        <w:t xml:space="preserve"> </w:t>
      </w:r>
      <w:r>
        <w:t xml:space="preserve">3.30 kg * 0.8 * -1.0 kgCO2e/kg = -2.64 kgCO2e</w:t>
      </w:r>
    </w:p>
    <w:p>
      <w:pPr>
        <w:numPr>
          <w:ilvl w:val="1"/>
          <w:numId w:val="1013"/>
        </w:numPr>
        <w:pStyle w:val="Compact"/>
      </w:pPr>
      <w:r>
        <w:rPr>
          <w:bCs/>
          <w:b/>
        </w:rPr>
        <w:t xml:space="preserve">Net EoL Emissions:</w:t>
      </w:r>
      <w:r>
        <w:t xml:space="preserve"> </w:t>
      </w:r>
      <w:r>
        <w:t xml:space="preserve">-2.44 kgCO2e</w:t>
      </w:r>
    </w:p>
    <w:bookmarkEnd w:id="30"/>
    <w:bookmarkStart w:id="31" w:name="X641ccb4652c038ceac0302942053b2292a3d462"/>
    <w:p>
      <w:pPr>
        <w:pStyle w:val="Heading3"/>
      </w:pPr>
      <w:r>
        <w:t xml:space="preserve">5.4. Summary of Emissions by GHG Protocol Scope</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Total Emissions (kgCO2e)</w:t>
            </w:r>
          </w:p>
        </w:tc>
      </w:tr>
      <w:tr>
        <w:tc>
          <w:tcPr/>
          <w:p>
            <w:pPr>
              <w:pStyle w:val="Compact"/>
              <w:jc w:val="left"/>
            </w:pPr>
            <w:r>
              <w:t xml:space="preserve">Scope 1 (Direct Emissions)</w:t>
            </w:r>
          </w:p>
        </w:tc>
        <w:tc>
          <w:tcPr/>
          <w:p>
            <w:pPr>
              <w:pStyle w:val="Compact"/>
              <w:jc w:val="left"/>
            </w:pPr>
            <w:r>
              <w:t xml:space="preserve">On-site fuel combustion, process emissions</w:t>
            </w:r>
          </w:p>
        </w:tc>
        <w:tc>
          <w:tcPr/>
          <w:p>
            <w:pPr>
              <w:pStyle w:val="Compact"/>
              <w:jc w:val="left"/>
            </w:pPr>
            <w:r>
              <w:t xml:space="preserve">0.22 kgCO2e</w:t>
            </w:r>
          </w:p>
        </w:tc>
      </w:tr>
      <w:tr>
        <w:tc>
          <w:tcPr/>
          <w:p>
            <w:pPr>
              <w:pStyle w:val="Compact"/>
              <w:jc w:val="left"/>
            </w:pPr>
            <w:r>
              <w:t xml:space="preserve">Scope 2 (Indirect Emissions from Purchased Energy)</w:t>
            </w:r>
          </w:p>
        </w:tc>
        <w:tc>
          <w:tcPr/>
          <w:p>
            <w:pPr>
              <w:pStyle w:val="Compact"/>
              <w:jc w:val="left"/>
            </w:pPr>
            <w:r>
              <w:t xml:space="preserve">Purchased electricity for manufacturing</w:t>
            </w:r>
          </w:p>
        </w:tc>
        <w:tc>
          <w:tcPr/>
          <w:p>
            <w:pPr>
              <w:pStyle w:val="Compact"/>
              <w:jc w:val="left"/>
            </w:pPr>
            <w:r>
              <w:t xml:space="preserve">2.60 kgCO2e</w:t>
            </w:r>
          </w:p>
        </w:tc>
      </w:tr>
      <w:tr>
        <w:tc>
          <w:tcPr/>
          <w:p>
            <w:pPr>
              <w:pStyle w:val="Compact"/>
              <w:jc w:val="left"/>
            </w:pPr>
            <w:r>
              <w:t xml:space="preserve">Scope 3 (Other Indirect Emissions)</w:t>
            </w:r>
          </w:p>
        </w:tc>
        <w:tc>
          <w:tcPr/>
          <w:p>
            <w:pPr>
              <w:pStyle w:val="Compact"/>
              <w:jc w:val="left"/>
            </w:pPr>
            <w:r>
              <w:t xml:space="preserve">Materials, Upstream &amp; Downstream Transport, Product Use, End-of-Life</w:t>
            </w:r>
          </w:p>
          <w:p>
            <w:pPr>
              <w:numPr>
                <w:ilvl w:val="0"/>
                <w:numId w:val="1014"/>
              </w:numPr>
              <w:pStyle w:val="Compact"/>
              <w:jc w:val="left"/>
            </w:pPr>
            <w:r>
              <w:t xml:space="preserve">Material Acquisition &amp; Pre-processing: 9.00 kgCO2e</w:t>
            </w:r>
          </w:p>
          <w:p>
            <w:pPr>
              <w:numPr>
                <w:ilvl w:val="0"/>
                <w:numId w:val="1014"/>
              </w:numPr>
              <w:pStyle w:val="Compact"/>
              <w:jc w:val="left"/>
            </w:pPr>
            <w:r>
              <w:t xml:space="preserve">Upstream Transport (Materials): 0.26 kgCO2e</w:t>
            </w:r>
          </w:p>
          <w:p>
            <w:pPr>
              <w:numPr>
                <w:ilvl w:val="0"/>
                <w:numId w:val="1014"/>
              </w:numPr>
              <w:pStyle w:val="Compact"/>
              <w:jc w:val="left"/>
            </w:pPr>
            <w:r>
              <w:t xml:space="preserve">Downstream Transport (Product to market): 0.53 kgCO2e</w:t>
            </w:r>
          </w:p>
          <w:p>
            <w:pPr>
              <w:numPr>
                <w:ilvl w:val="0"/>
                <w:numId w:val="1014"/>
              </w:numPr>
              <w:pStyle w:val="Compact"/>
              <w:jc w:val="left"/>
            </w:pPr>
            <w:r>
              <w:t xml:space="preserve">Last-Mile Delivery: 0.17 kgCO2e</w:t>
            </w:r>
          </w:p>
          <w:p>
            <w:pPr>
              <w:numPr>
                <w:ilvl w:val="0"/>
                <w:numId w:val="1014"/>
              </w:numPr>
              <w:pStyle w:val="Compact"/>
              <w:jc w:val="left"/>
            </w:pPr>
            <w:r>
              <w:t xml:space="preserve">Use Phase: 14.40 kgCO2e</w:t>
            </w:r>
          </w:p>
          <w:p>
            <w:pPr>
              <w:numPr>
                <w:ilvl w:val="0"/>
                <w:numId w:val="1014"/>
              </w:numPr>
              <w:pStyle w:val="Compact"/>
              <w:jc w:val="left"/>
            </w:pPr>
            <w:r>
              <w:t xml:space="preserve">End-of-Life Treatment: -2.44 kgCO2e</w:t>
            </w:r>
          </w:p>
        </w:tc>
        <w:tc>
          <w:tcPr/>
          <w:p>
            <w:pPr>
              <w:pStyle w:val="Compact"/>
              <w:jc w:val="left"/>
            </w:pPr>
            <w:r>
              <w:t xml:space="preserve">21.92 kgCO2e</w:t>
            </w:r>
          </w:p>
        </w:tc>
      </w:tr>
      <w:tr>
        <w:tc>
          <w:tcPr>
            <w:gridSpan w:val="2"/>
          </w:tcPr>
          <w:p>
            <w:pPr>
              <w:pStyle w:val="Compact"/>
              <w:jc w:val="left"/>
            </w:pPr>
            <w:r>
              <w:t xml:space="preserve">Total Product Carbon Footprint (PCF)</w:t>
            </w:r>
          </w:p>
        </w:tc>
        <w:tc>
          <w:tcPr/>
          <w:p>
            <w:pPr>
              <w:pStyle w:val="Compact"/>
              <w:jc w:val="left"/>
            </w:pPr>
            <w:r>
              <w:t xml:space="preserve">24.74 kgCO2e</w:t>
            </w:r>
          </w:p>
        </w:tc>
      </w:tr>
    </w:tbl>
    <w:p>
      <w:r>
        <w:pict>
          <v:rect style="width:0;height:1.5pt" o:hralign="center" o:hrstd="t" o:hr="t"/>
        </w:pict>
      </w:r>
    </w:p>
    <w:bookmarkEnd w:id="31"/>
    <w:bookmarkEnd w:id="32"/>
    <w:bookmarkStart w:id="36" w:name="review-report-step-5"/>
    <w:p>
      <w:pPr>
        <w:pStyle w:val="Heading2"/>
      </w:pPr>
      <w:r>
        <w:t xml:space="preserve">6. Review &amp; Report (Step 5)</w:t>
      </w:r>
    </w:p>
    <w:bookmarkStart w:id="33" w:name="emission-hotspots"/>
    <w:p>
      <w:pPr>
        <w:pStyle w:val="Heading3"/>
      </w:pPr>
      <w:r>
        <w:t xml:space="preserve">6.1. Emission Hotspots</w:t>
      </w:r>
    </w:p>
    <w:p>
      <w:pPr>
        <w:pStyle w:val="FirstParagraph"/>
      </w:pPr>
      <w:r>
        <w:t xml:space="preserve">The primary emission hotspots for</w:t>
      </w:r>
      <w:r>
        <w:t xml:space="preserve"> </w:t>
      </w:r>
      <w:r>
        <w:rPr>
          <w:bCs/>
          <w:b/>
        </w:rPr>
        <w:t xml:space="preserve">dwrmmnzfig</w:t>
      </w:r>
      <w:r>
        <w:t xml:space="preserve"> </w:t>
      </w:r>
      <w:r>
        <w:t xml:space="preserve">are identified as:</w:t>
      </w:r>
    </w:p>
    <w:p>
      <w:pPr>
        <w:numPr>
          <w:ilvl w:val="0"/>
          <w:numId w:val="1015"/>
        </w:numPr>
        <w:pStyle w:val="Compact"/>
      </w:pPr>
      <w:r>
        <w:rPr>
          <w:bCs/>
          <w:b/>
        </w:rPr>
        <w:t xml:space="preserve">Use Phase (Scope 3 Downstream):</w:t>
      </w:r>
      <w:r>
        <w:t xml:space="preserve"> </w:t>
      </w:r>
      <w:r>
        <w:t xml:space="preserve">The energy consumption over the product\'s 5 years lifespan, especially with the Europe grid mix, contributes substantially.</w:t>
      </w:r>
    </w:p>
    <w:p>
      <w:pPr>
        <w:numPr>
          <w:ilvl w:val="0"/>
          <w:numId w:val="1015"/>
        </w:numPr>
        <w:pStyle w:val="Compact"/>
      </w:pPr>
      <w:r>
        <w:rPr>
          <w:bCs/>
          <w:b/>
        </w:rPr>
        <w:t xml:space="preserve">Material Acquisition &amp; Pre-processing (Scope 3 Upstream):</w:t>
      </w:r>
      <w:r>
        <w:t xml:space="preserve"> </w:t>
      </w:r>
      <w:r>
        <w:t xml:space="preserve">This stage represents a significant portion of the total footprint due to the inherent emissions associated with raw material production.</w:t>
      </w:r>
    </w:p>
    <w:p>
      <w:pPr>
        <w:numPr>
          <w:ilvl w:val="0"/>
          <w:numId w:val="1015"/>
        </w:numPr>
        <w:pStyle w:val="Compact"/>
      </w:pPr>
      <w:r>
        <w:rPr>
          <w:bCs/>
          <w:b/>
        </w:rPr>
        <w:t xml:space="preserve">Downstream Transportation (Scope 3 Downstream):</w:t>
      </w:r>
      <w:r>
        <w:t xml:space="preserve"> </w:t>
      </w:r>
      <w:r>
        <w:t xml:space="preserve">The long-distance shipping from China to Europe (10000 km) adds a considerable footprint, despite the use of relatively efficient ocean freight.</w:t>
      </w:r>
    </w:p>
    <w:bookmarkEnd w:id="33"/>
    <w:bookmarkStart w:id="34" w:name="reliability-and-limitations"/>
    <w:p>
      <w:pPr>
        <w:pStyle w:val="Heading3"/>
      </w:pPr>
      <w:r>
        <w:t xml:space="preserve">6.2. Reliability and Limitations</w:t>
      </w:r>
    </w:p>
    <w:p>
      <w:pPr>
        <w:pStyle w:val="FirstParagraph"/>
      </w:pPr>
      <w:r>
        <w:t xml:space="preserve">This report provides a high-detail analysis based on the provided parameters and industry-average emission factors. The reliability is enhanced by using specific BOM data and customized logistics/energy information. However, inherent limitations include:</w:t>
      </w:r>
    </w:p>
    <w:p>
      <w:pPr>
        <w:numPr>
          <w:ilvl w:val="0"/>
          <w:numId w:val="1016"/>
        </w:numPr>
        <w:pStyle w:val="Compact"/>
      </w:pPr>
      <w:r>
        <w:t xml:space="preserve">Reliance on secondary (industry-average) emission factors where primary data was unavailable. Actual emissions may vary based on supplier-specific operational efficiencies.</w:t>
      </w:r>
    </w:p>
    <w:p>
      <w:pPr>
        <w:numPr>
          <w:ilvl w:val="0"/>
          <w:numId w:val="1016"/>
        </w:numPr>
        <w:pStyle w:val="Compact"/>
      </w:pPr>
      <w:r>
        <w:t xml:space="preserve">Assumptions made for certain parameters (e.g., average upstream transport distances, last-mile delivery distances) due to the placeholder nature of the input.</w:t>
      </w:r>
    </w:p>
    <w:p>
      <w:pPr>
        <w:numPr>
          <w:ilvl w:val="0"/>
          <w:numId w:val="1016"/>
        </w:numPr>
        <w:pStyle w:val="Compact"/>
      </w:pPr>
      <w:r>
        <w:t xml:space="preserve">The 2026 LSR Standard has been conceptually applied, acknowledging land use and carbon removals. A more granular analysis would require specific land-use change data for raw materials and operations.</w:t>
      </w:r>
    </w:p>
    <w:p>
      <w:pPr>
        <w:numPr>
          <w:ilvl w:val="0"/>
          <w:numId w:val="1016"/>
        </w:numPr>
        <w:pStyle w:val="Compact"/>
      </w:pPr>
      <w:r>
        <w:t xml:space="preserve">While Scope 3 coverage aims for &gt;95%, some minor categories might be excluded if data availability is zero for illustrative purposes, but the main categories are thoroughly covered.</w:t>
      </w:r>
    </w:p>
    <w:bookmarkEnd w:id="34"/>
    <w:bookmarkStart w:id="35" w:name="recommendations-for-reduction"/>
    <w:p>
      <w:pPr>
        <w:pStyle w:val="Heading3"/>
      </w:pPr>
      <w:r>
        <w:t xml:space="preserve">6.3. Recommendations for Reduction</w:t>
      </w:r>
    </w:p>
    <w:p>
      <w:pPr>
        <w:numPr>
          <w:ilvl w:val="0"/>
          <w:numId w:val="1017"/>
        </w:numPr>
        <w:pStyle w:val="Compact"/>
      </w:pPr>
      <w:r>
        <w:rPr>
          <w:bCs/>
          <w:b/>
        </w:rPr>
        <w:t xml:space="preserve">Material Optimization:</w:t>
      </w:r>
      <w:r>
        <w:t xml:space="preserve"> </w:t>
      </w:r>
      <w:r>
        <w:t xml:space="preserve">Explore opportunities to use lower-carbon intensity materials, increase recycled content beyond 80%, or reduce overall material usage.</w:t>
      </w:r>
    </w:p>
    <w:p>
      <w:pPr>
        <w:numPr>
          <w:ilvl w:val="0"/>
          <w:numId w:val="1017"/>
        </w:numPr>
        <w:pStyle w:val="Compact"/>
      </w:pPr>
      <w:r>
        <w:rPr>
          <w:bCs/>
          <w:b/>
        </w:rPr>
        <w:t xml:space="preserve">Renewable Energy Expansion:</w:t>
      </w:r>
      <w:r>
        <w:t xml:space="preserve"> </w:t>
      </w:r>
      <w:r>
        <w:t xml:space="preserve">Further increase the share of renewable energy in manufacturing facilities beyond 70% to reduce Scope 2 emissions.</w:t>
      </w:r>
    </w:p>
    <w:p>
      <w:pPr>
        <w:numPr>
          <w:ilvl w:val="0"/>
          <w:numId w:val="1017"/>
        </w:numPr>
        <w:pStyle w:val="Compact"/>
      </w:pPr>
      <w:r>
        <w:rPr>
          <w:bCs/>
          <w:b/>
        </w:rPr>
        <w:t xml:space="preserve">Logistics Efficiency:</w:t>
      </w:r>
      <w:r>
        <w:t xml:space="preserve"> </w:t>
      </w:r>
      <w:r>
        <w:t xml:space="preserve">Optimize transport routes, explore multimodal transport options, and engage with logistics providers committed to low-emission fleets for both primary and last-mile deliveries.</w:t>
      </w:r>
    </w:p>
    <w:p>
      <w:pPr>
        <w:numPr>
          <w:ilvl w:val="0"/>
          <w:numId w:val="1017"/>
        </w:numPr>
        <w:pStyle w:val="Compact"/>
      </w:pPr>
      <w:r>
        <w:rPr>
          <w:bCs/>
          <w:b/>
        </w:rPr>
        <w:t xml:space="preserve">Product Design for Longevity &amp; Circularity:</w:t>
      </w:r>
      <w:r>
        <w:t xml:space="preserve"> </w:t>
      </w:r>
      <w:r>
        <w:t xml:space="preserve">Leverage the "Product Take-back Program in place" (Product Take-back Program in place) to maximize product lifespan and enable effective recycling or reuse, further enhancing circular economy impacts.</w:t>
      </w:r>
    </w:p>
    <w:p>
      <w:pPr>
        <w:numPr>
          <w:ilvl w:val="0"/>
          <w:numId w:val="1017"/>
        </w:numPr>
        <w:pStyle w:val="Compact"/>
      </w:pPr>
      <w:r>
        <w:rPr>
          <w:bCs/>
          <w:b/>
        </w:rPr>
        <w:t xml:space="preserve">Consumer Energy Use:</w:t>
      </w:r>
      <w:r>
        <w:t xml:space="preserve"> </w:t>
      </w:r>
      <w:r>
        <w:t xml:space="preserve">Educate consumers on energy-efficient product use or explore product designs that inherently consume less energy during the use phase.</w:t>
      </w:r>
    </w:p>
    <w:p>
      <w:r>
        <w:pict>
          <v:rect style="width:0;height:1.5pt" o:hralign="center" o:hrstd="t" o:hr="t"/>
        </w:pict>
      </w:r>
    </w:p>
    <w:bookmarkEnd w:id="35"/>
    <w:bookmarkEnd w:id="36"/>
    <w:bookmarkStart w:id="37" w:name="conclusion"/>
    <w:p>
      <w:pPr>
        <w:pStyle w:val="Heading2"/>
      </w:pPr>
      <w:r>
        <w:t xml:space="preserve">7. Conclusion</w:t>
      </w:r>
    </w:p>
    <w:p>
      <w:pPr>
        <w:pStyle w:val="FirstParagraph"/>
      </w:pPr>
      <w:r>
        <w:t xml:space="preserve">The Product Carbon Footprint analysis for</w:t>
      </w:r>
      <w:r>
        <w:t xml:space="preserve"> </w:t>
      </w:r>
      <w:r>
        <w:rPr>
          <w:bCs/>
          <w:b/>
        </w:rPr>
        <w:t xml:space="preserve">dwrmmnzfig</w:t>
      </w:r>
      <w:r>
        <w:t xml:space="preserve"> </w:t>
      </w:r>
      <w:r>
        <w:t xml:space="preserve">offers valuable insights into its environmental impact. By focusing on material choices, manufacturing energy, efficient logistics, and end-of-life strategies,</w:t>
      </w:r>
      <w:r>
        <w:t xml:space="preserve"> </w:t>
      </w:r>
      <w:r>
        <w:rPr>
          <w:bCs/>
          <w:b/>
        </w:rPr>
        <w:t xml:space="preserve">ymzoojdlhk</w:t>
      </w:r>
      <w:r>
        <w:t xml:space="preserve">, guided by</w:t>
      </w:r>
      <w:r>
        <w:t xml:space="preserve"> </w:t>
      </w:r>
      <w:r>
        <w:rPr>
          <w:bCs/>
          <w:b/>
        </w:rPr>
        <w:t xml:space="preserve">xgzkllstnm</w:t>
      </w:r>
      <w:r>
        <w:t xml:space="preserve">, can strategically target emission reduction efforts to align with its sustainability goals and ensure compliance with evolving standards like the GHG Protocol and the 2026 LSR update. Continuous monitoring and improvement based on primary data collection will be key to achieving significant carbon reductions.</w:t>
      </w:r>
    </w:p>
    <w:p>
      <w:pPr>
        <w:pStyle w:val="BodyText"/>
      </w:pPr>
      <w:r>
        <w:t xml:space="preserve">Confidential - Internal Use Only</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dwrmmnzfig</dc:title>
  <dc:creator/>
  <dc:description>High-detail Product Carbon Footprint (PCF) analysis report for dwrmmnzfig by Senior Sustainability Consultant xgzkllstnm for ymzoojdlhk, adhering to GHG Protocol and 2026 LSR update.</dc:description>
  <dc:language>en</dc:language>
  <cp:keywords/>
  <dcterms:created xsi:type="dcterms:W3CDTF">2026-07-15T20:07:11Z</dcterms:created>
  <dcterms:modified xsi:type="dcterms:W3CDTF">2026-07-15T20:07:11Z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