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dwewttjfxw</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dwewttjfxw</w:t>
      </w:r>
    </w:p>
    <w:p>
      <w:pPr>
        <w:pStyle w:val="BodyText"/>
      </w:pPr>
      <w:r>
        <w:rPr>
          <w:bCs/>
          <w:b/>
        </w:rPr>
        <w:t xml:space="preserve">Company Name:</w:t>
      </w:r>
      <w:r>
        <w:t xml:space="preserve"> </w:t>
      </w:r>
      <w:r>
        <w:t xml:space="preserve">grugeymrri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hhtwtjzvgt</w:t>
      </w:r>
    </w:p>
    <w:p>
      <w:pPr>
        <w:pStyle w:val="BodyText"/>
      </w:pPr>
      <w:r>
        <w:t xml:space="preserve">This report is generated based on available data and industry standards. While efforts have been made to ensure accuracy, the actual environmental impact may vary depending on specific operational conditions and data precision.</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dwewttjfxw</w:t>
      </w:r>
    </w:p>
    <w:p>
      <w:pPr>
        <w:pStyle w:val="BodyText"/>
      </w:pPr>
      <w:r>
        <w:rPr>
          <w:bCs/>
          <w:b/>
        </w:rPr>
        <w:t xml:space="preserve">Company:</w:t>
      </w:r>
      <w:r>
        <w:t xml:space="preserve"> </w:t>
      </w:r>
      <w:r>
        <w:t xml:space="preserve">grugeymrri</w:t>
      </w:r>
    </w:p>
    <w:p>
      <w:pPr>
        <w:pStyle w:val="BodyText"/>
      </w:pPr>
      <w:r>
        <w:rPr>
          <w:bCs/>
          <w:b/>
        </w:rPr>
        <w:t xml:space="preserve">Senior Sustainability Consultant:</w:t>
      </w:r>
      <w:r>
        <w:t xml:space="preserve"> </w:t>
      </w:r>
      <w:r>
        <w:t xml:space="preserve">hhtwtjzvgt</w:t>
      </w:r>
    </w:p>
    <w:p>
      <w:pPr>
        <w:pStyle w:val="BodyText"/>
      </w:pPr>
      <w:r>
        <w:rPr>
          <w:bCs/>
          <w:b/>
        </w:rPr>
        <w:t xml:space="preserve">Generated Date:</w:t>
      </w:r>
      <w:r>
        <w:t xml:space="preserve"> </w:t>
      </w:r>
      <w:r>
        <w:t xml:space="preserve">May 19,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"dwewttjfxw" manufactured by "grugeymrri". The assessment adheres to the Greenhouse Gas (GHG) Protocol standards, categorizing emissions across the product\'s lifecycle from raw material acquisition to end-of-life. The total carbon footprint for one functional unit of "dwewttjfxw" is calculated to be approximately 24.46 kg CO2e. Key hotspots include the use phase due to energy consumption, followed by material acquisition and pre-processing. Recommendations for emission reduction focus on enhancing energy efficiency in the use phase and exploring lower-impact material alternatives.</w:t>
      </w:r>
    </w:p>
    <w:bookmarkEnd w:id="22"/>
    <w:bookmarkStart w:id="25" w:name="methodology-and-scope-definition"/>
    <w:p>
      <w:pPr>
        <w:pStyle w:val="Heading2"/>
      </w:pPr>
      <w:r>
        <w:t xml:space="preserve">2. Methodology and Scope Definition</w:t>
      </w:r>
    </w:p>
    <w:p>
      <w:pPr>
        <w:pStyle w:val="FirstParagraph"/>
      </w:pPr>
      <w:r>
        <w:t xml:space="preserve">The Product Carbon Footprint (PCF) analysis for "dwewttjfxw" follows a five-step methodology, ensuring adherence to the GHG Protocol\'s principles of relevance, completeness, consistency, transparency, and accuracy. This report incorporates the latest 2026 Land Sector and Removals (LSR) update and aims for at least 95% coverage for Scope 3 reporting as per 2026 requirements.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dwewttjfxw.</w:t>
      </w:r>
    </w:p>
    <w:p>
      <w:pPr>
        <w:numPr>
          <w:ilvl w:val="0"/>
          <w:numId w:val="1001"/>
        </w:numPr>
        <w:pStyle w:val="Compact"/>
      </w:pPr>
      <w:r>
        <w:rPr>
          <w:bCs/>
          <w:b/>
        </w:rPr>
        <w:t xml:space="preserve">System Boundary:</w:t>
      </w:r>
      <w:r>
        <w:t xml:space="preserve"> </w:t>
      </w:r>
      <w:r>
        <w:t xml:space="preserve">Cradle-to-grave, with a primary focus on "factory_gate" for production emissions and extending to the full product lifecycle for value chain assessment.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upstream materials).</w:t>
      </w:r>
    </w:p>
    <w:p>
      <w:pPr>
        <w:numPr>
          <w:ilvl w:val="0"/>
          <w:numId w:val="1001"/>
        </w:numPr>
        <w:pStyle w:val="Compact"/>
      </w:pPr>
      <w:r>
        <w:rPr>
          <w:bCs/>
          <w:b/>
        </w:rPr>
        <w:t xml:space="preserve">Accounting Standard:</w:t>
      </w:r>
      <w:r>
        <w:t xml:space="preserve"> </w:t>
      </w:r>
      <w:r>
        <w:t xml:space="preserve">GHG Protocol (Corporate Accounting and Reporting Standard, and Product Standard).</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transportation), allocation is based on mass-distance where appropriate.</w:t>
      </w:r>
    </w:p>
    <w:bookmarkEnd w:id="23"/>
    <w:bookmarkStart w:id="24" w:name="map-lifecycle-lci-inventory-stages"/>
    <w:p>
      <w:pPr>
        <w:pStyle w:val="Heading3"/>
      </w:pPr>
      <w:r>
        <w:t xml:space="preserve">2.2. Map Lifecycle (LCI Inventory Stages)</w:t>
      </w:r>
    </w:p>
    <w:p>
      <w:pPr>
        <w:pStyle w:val="FirstParagraph"/>
      </w:pPr>
      <w:r>
        <w:t xml:space="preserve">The lifecycle of dwewttjfxw includes the following stages, mapping both direct and indirect emissions:</w:t>
      </w:r>
    </w:p>
    <w:p>
      <w:pPr>
        <w:numPr>
          <w:ilvl w:val="0"/>
          <w:numId w:val="1003"/>
        </w:numPr>
        <w:pStyle w:val="Compact"/>
      </w:pPr>
      <w:r>
        <w:rPr>
          <w:bCs/>
          <w:b/>
        </w:rPr>
        <w:t xml:space="preserve">Material Acquisition &amp; Pre-processing:</w:t>
      </w:r>
      <w:r>
        <w:t xml:space="preserve"> </w:t>
      </w:r>
      <w:r>
        <w:t xml:space="preserve">Extraction, processing, and manufacturing of raw materials. This falls under Scope 3, Category 1 (Purchased goods and services).</w:t>
      </w:r>
    </w:p>
    <w:p>
      <w:pPr>
        <w:numPr>
          <w:ilvl w:val="0"/>
          <w:numId w:val="1003"/>
        </w:numPr>
        <w:pStyle w:val="Compact"/>
      </w:pPr>
      <w:r>
        <w:rPr>
          <w:bCs/>
          <w:b/>
        </w:rPr>
        <w:t xml:space="preserve">Production Phase:</w:t>
      </w:r>
      <w:r>
        <w:t xml:space="preserve"> </w:t>
      </w:r>
      <w:r>
        <w:t xml:space="preserve">Manufacturing processes at the grugeymrri facility in China, including energy consumption and direct emissions. These are categorized as Scope 1 (direct emissions from owned/controlled sources) and Scope 2 (indirect emissions from purchased energy).</w:t>
      </w:r>
    </w:p>
    <w:p>
      <w:pPr>
        <w:numPr>
          <w:ilvl w:val="0"/>
          <w:numId w:val="1003"/>
        </w:numPr>
        <w:pStyle w:val="Compact"/>
      </w:pPr>
      <w:r>
        <w:rPr>
          <w:bCs/>
          <w:b/>
        </w:rPr>
        <w:t xml:space="preserve">Transportation:</w:t>
      </w:r>
    </w:p>
    <w:p>
      <w:pPr>
        <w:numPr>
          <w:ilvl w:val="1"/>
          <w:numId w:val="1004"/>
        </w:numPr>
        <w:pStyle w:val="Compact"/>
      </w:pPr>
      <w:r>
        <w:t xml:space="preserve">Upstream: Transport of raw materials and components from European suppliers to the manufacturing facility in China (Scope 3, Category 4 - Upstream transportation and distribution).</w:t>
      </w:r>
    </w:p>
    <w:p>
      <w:pPr>
        <w:numPr>
          <w:ilvl w:val="1"/>
          <w:numId w:val="1004"/>
        </w:numPr>
        <w:pStyle w:val="Compact"/>
      </w:pPr>
      <w:r>
        <w:t xml:space="preserve">Downstream: Transport of the finished product from the factory to the customer, including last-mile delivery (Scope 3, Category 9 - Downstream transportation and distribution).</w:t>
      </w:r>
    </w:p>
    <w:p>
      <w:pPr>
        <w:numPr>
          <w:ilvl w:val="0"/>
          <w:numId w:val="1003"/>
        </w:numPr>
        <w:pStyle w:val="Compact"/>
      </w:pPr>
      <w:r>
        <w:rPr>
          <w:bCs/>
          <w:b/>
        </w:rPr>
        <w:t xml:space="preserve">Use Phase:</w:t>
      </w:r>
      <w:r>
        <w:t xml:space="preserve"> </w:t>
      </w:r>
      <w:r>
        <w:t xml:space="preserve">Energy consumption during the product\'s expected lifespan by the end-user (Scope 3, Category 11 - Use of sold products).</w:t>
      </w:r>
    </w:p>
    <w:p>
      <w:pPr>
        <w:numPr>
          <w:ilvl w:val="0"/>
          <w:numId w:val="1003"/>
        </w:numPr>
        <w:pStyle w:val="Compact"/>
      </w:pPr>
      <w:r>
        <w:rPr>
          <w:bCs/>
          <w:b/>
        </w:rPr>
        <w:t xml:space="preserve">End-of-Life (EoL):</w:t>
      </w:r>
      <w:r>
        <w:t xml:space="preserve"> </w:t>
      </w:r>
      <w:r>
        <w:t xml:space="preserve">Disposal, recycling, and treatment of the product at the end of its useful life (Scope 3, Category 12 - End-of-life treatment of sold products).</w:t>
      </w:r>
    </w:p>
    <w:bookmarkEnd w:id="24"/>
    <w:bookmarkEnd w:id="25"/>
    <w:bookmarkStart w:id="31" w:name="collect-data"/>
    <w:p>
      <w:pPr>
        <w:pStyle w:val="Heading2"/>
      </w:pPr>
      <w:r>
        <w:t xml:space="preserve">3. Collect Data</w:t>
      </w:r>
    </w:p>
    <w:p>
      <w:pPr>
        <w:pStyle w:val="FirstParagraph"/>
      </w:pPr>
      <w:r>
        <w:t xml:space="preserve">Data collection involved a combination of primary data provided by grugeymrri and secondary data from industry-standard emission factor databases such as Ecoinvent and DEFRA. Specific parameters provided by the company were directly integrated into the calculations.</w:t>
      </w:r>
    </w:p>
    <w:bookmarkStart w:id="26" w:name="detailed-bill-of-materials-bom-data"/>
    <w:p>
      <w:pPr>
        <w:pStyle w:val="Heading3"/>
      </w:pPr>
      <w:r>
        <w:t xml:space="preserve">3.1. Detailed Bill of Materials (BOM) Data</w:t>
      </w:r>
    </w:p>
    <w:p>
      <w:pPr>
        <w:pStyle w:val="FirstParagraph"/>
      </w:pPr>
      <w:r>
        <w:t xml:space="preserve">The following Bill of Materials (BOM) for dwewttjfxw, represented by the parameter "jjvqxzrd", was used for high-accuracy material impact calculation. Emission factors are illustrative and based on industry averages for the specified regions and materials where primary data was not available.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CO2e/kg or /unit)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4.52</w:t>
            </w:r>
          </w:p>
        </w:tc>
        <w:tc>
          <w:tcPr/>
          <w:p>
            <w:pPr>
              <w:pStyle w:val="Compact"/>
              <w:jc w:val="left"/>
            </w:pPr>
            <w:r>
              <w:t xml:space="preserve">1.356</w:t>
            </w:r>
          </w:p>
        </w:tc>
      </w:tr>
      <w:tr>
        <w:tc>
          <w:tcPr/>
          <w:p>
            <w:pPr>
              <w:pStyle w:val="Compact"/>
              <w:jc w:val="left"/>
            </w:pPr>
            <w:r>
              <w:t xml:space="preserve">3</w:t>
            </w:r>
          </w:p>
        </w:tc>
        <w:tc>
          <w:tcPr/>
          <w:p>
            <w:pPr>
              <w:pStyle w:val="Compact"/>
              <w:jc w:val="left"/>
            </w:pPr>
            <w:r>
              <w:t xml:space="preserve">Main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2.000</w:t>
            </w:r>
          </w:p>
        </w:tc>
      </w:tr>
      <w:tr>
        <w:tc>
          <w:tcPr/>
          <w:p>
            <w:pPr>
              <w:pStyle w:val="Compact"/>
              <w:jc w:val="left"/>
            </w:pPr>
            <w:r>
              <w:t xml:space="preserve">4</w:t>
            </w:r>
          </w:p>
        </w:tc>
        <w:tc>
          <w:tcPr/>
          <w:p>
            <w:pPr>
              <w:pStyle w:val="Compact"/>
              <w:jc w:val="left"/>
            </w:pPr>
            <w:r>
              <w:t xml:space="preserve">Copper Wire (internal)</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0.300</w:t>
            </w:r>
          </w:p>
        </w:tc>
      </w:tr>
      <w:tr>
        <w:tc>
          <w:tcPr>
            <w:gridSpan w:val="7"/>
          </w:tcPr>
          <w:p>
            <w:pPr>
              <w:pStyle w:val="Compact"/>
              <w:jc w:val="right"/>
            </w:pPr>
            <w:r>
              <w:t xml:space="preserve">Subtotal Materials (kg CO2e)</w:t>
            </w:r>
          </w:p>
        </w:tc>
        <w:tc>
          <w:tcPr/>
          <w:p>
            <w:pPr>
              <w:pStyle w:val="Compact"/>
              <w:jc w:val="left"/>
            </w:pPr>
            <w:r>
              <w:t xml:space="preserve">7.806</w:t>
            </w:r>
          </w:p>
        </w:tc>
      </w:tr>
    </w:tbl>
    <w:bookmarkEnd w:id="26"/>
    <w:bookmarkStart w:id="27" w:name="logistics-data"/>
    <w:p>
      <w:pPr>
        <w:pStyle w:val="Heading3"/>
      </w:pPr>
      <w:r>
        <w:t xml:space="preserve">3.2. Logistics Data</w:t>
      </w:r>
    </w:p>
    <w:p>
      <w:pPr>
        <w:numPr>
          <w:ilvl w:val="0"/>
          <w:numId w:val="1005"/>
        </w:numPr>
        <w:pStyle w:val="Compact"/>
      </w:pPr>
      <w:r>
        <w:rPr>
          <w:bCs/>
          <w:b/>
        </w:rPr>
        <w:t xml:space="preserve">Main Transport Mode:</w:t>
      </w:r>
      <w:r>
        <w:t xml:space="preserve"> </w:t>
      </w:r>
      <w:r>
        <w:t xml:space="preserve">Road Freight (Heavy Goods Vehicle - HGV).</w:t>
      </w:r>
    </w:p>
    <w:p>
      <w:pPr>
        <w:numPr>
          <w:ilvl w:val="0"/>
          <w:numId w:val="1005"/>
        </w:numPr>
        <w:pStyle w:val="Compact"/>
      </w:pPr>
      <w:r>
        <w:rPr>
          <w:bCs/>
          <w:b/>
        </w:rPr>
        <w:t xml:space="preserve">Main Transport Distance (`tfgdpnzhxp`):</w:t>
      </w:r>
      <w:r>
        <w:t xml:space="preserve"> </w:t>
      </w:r>
      <w:r>
        <w:t xml:space="preserve">2000 km.</w:t>
      </w:r>
    </w:p>
    <w:p>
      <w:pPr>
        <w:numPr>
          <w:ilvl w:val="0"/>
          <w:numId w:val="1005"/>
        </w:numPr>
        <w:pStyle w:val="Compact"/>
      </w:pPr>
      <w:r>
        <w:rPr>
          <w:bCs/>
          <w:b/>
        </w:rPr>
        <w:t xml:space="preserve">Last-Mile Delivery Channel (`Delivery Type`):</w:t>
      </w:r>
      <w:r>
        <w:t xml:space="preserve"> </w:t>
      </w:r>
      <w:r>
        <w:t xml:space="preserve">Van Delivery.</w:t>
      </w:r>
    </w:p>
    <w:p>
      <w:pPr>
        <w:numPr>
          <w:ilvl w:val="0"/>
          <w:numId w:val="1005"/>
        </w:numPr>
        <w:pStyle w:val="Compact"/>
      </w:pPr>
      <w:r>
        <w:rPr>
          <w:bCs/>
          <w:b/>
        </w:rPr>
        <w:t xml:space="preserve">Last-Mile Delivery Distance:</w:t>
      </w:r>
      <w:r>
        <w:t xml:space="preserve"> </w:t>
      </w:r>
      <w:r>
        <w:t xml:space="preserve">100 km (illustrative, allocated per unit).</w:t>
      </w:r>
    </w:p>
    <w:bookmarkEnd w:id="27"/>
    <w:bookmarkStart w:id="28" w:name="X5077dc433e1da7ac35c89ed02c6fc33082866a4"/>
    <w:p>
      <w:pPr>
        <w:pStyle w:val="Heading3"/>
      </w:pPr>
      <w:r>
        <w:t xml:space="preserve">3.3. Energy Customization Data (Production Phase)</w:t>
      </w:r>
    </w:p>
    <w:p>
      <w:pPr>
        <w:numPr>
          <w:ilvl w:val="0"/>
          <w:numId w:val="1006"/>
        </w:numPr>
        <w:pStyle w:val="Compact"/>
      </w:pPr>
      <w:r>
        <w:rPr>
          <w:bCs/>
          <w:b/>
        </w:rPr>
        <w:t xml:space="preserve">Renewable Energy Usage (`kuwqhnovgj`):</w:t>
      </w:r>
      <w:r>
        <w:t xml:space="preserve"> </w:t>
      </w:r>
      <w:r>
        <w:t xml:space="preserve">70%.</w:t>
      </w:r>
    </w:p>
    <w:p>
      <w:pPr>
        <w:numPr>
          <w:ilvl w:val="0"/>
          <w:numId w:val="1006"/>
        </w:numPr>
        <w:pStyle w:val="Compact"/>
      </w:pPr>
      <w:r>
        <w:rPr>
          <w:bCs/>
          <w:b/>
        </w:rPr>
        <w:t xml:space="preserve">Energy Intensity (`mywhkjrxvl`):</w:t>
      </w:r>
      <w:r>
        <w:t xml:space="preserve"> </w:t>
      </w:r>
      <w:r>
        <w:t xml:space="preserve">5 kWh/unit.</w:t>
      </w:r>
    </w:p>
    <w:p>
      <w:pPr>
        <w:numPr>
          <w:ilvl w:val="0"/>
          <w:numId w:val="1006"/>
        </w:numPr>
        <w:pStyle w:val="Compact"/>
      </w:pPr>
      <w:r>
        <w:rPr>
          <w:bCs/>
          <w:b/>
        </w:rPr>
        <w:t xml:space="preserve">Electricity Emission Factor (China Grid):</w:t>
      </w:r>
      <w:r>
        <w:t xml:space="preserve"> </w:t>
      </w:r>
      <w:r>
        <w:t xml:space="preserve">0.556 kg CO2e/kWh.</w:t>
      </w:r>
    </w:p>
    <w:bookmarkEnd w:id="28"/>
    <w:bookmarkStart w:id="29" w:name="X573902256cc2f74e26e617194401be4eceb9979"/>
    <w:p>
      <w:pPr>
        <w:pStyle w:val="Heading3"/>
      </w:pPr>
      <w:r>
        <w:t xml:space="preserve">3.4. Durability and Consumption Data (Use Phase)</w:t>
      </w:r>
    </w:p>
    <w:p>
      <w:pPr>
        <w:numPr>
          <w:ilvl w:val="0"/>
          <w:numId w:val="1007"/>
        </w:numPr>
        <w:pStyle w:val="Compact"/>
      </w:pPr>
      <w:r>
        <w:rPr>
          <w:bCs/>
          <w:b/>
        </w:rPr>
        <w:t xml:space="preserve">Product Lifespan (`egndfgzdrf`):</w:t>
      </w:r>
      <w:r>
        <w:t xml:space="preserve"> </w:t>
      </w:r>
      <w:r>
        <w:t xml:space="preserve">5 years.</w:t>
      </w:r>
    </w:p>
    <w:p>
      <w:pPr>
        <w:numPr>
          <w:ilvl w:val="0"/>
          <w:numId w:val="1007"/>
        </w:numPr>
        <w:pStyle w:val="Compact"/>
      </w:pPr>
      <w:r>
        <w:rPr>
          <w:bCs/>
          <w:b/>
        </w:rPr>
        <w:t xml:space="preserve">Energy Consumption in Use (`lwomwemtkr`):</w:t>
      </w:r>
      <w:r>
        <w:t xml:space="preserve"> </w:t>
      </w:r>
      <w:r>
        <w:t xml:space="preserve">10 kWh/year.</w:t>
      </w:r>
    </w:p>
    <w:bookmarkEnd w:id="29"/>
    <w:bookmarkStart w:id="30" w:name="end-of-life-eol-data"/>
    <w:p>
      <w:pPr>
        <w:pStyle w:val="Heading3"/>
      </w:pPr>
      <w:r>
        <w:t xml:space="preserve">3.5. End-of-Life (EoL) Data</w:t>
      </w:r>
    </w:p>
    <w:p>
      <w:pPr>
        <w:numPr>
          <w:ilvl w:val="0"/>
          <w:numId w:val="1008"/>
        </w:numPr>
        <w:pStyle w:val="Compact"/>
      </w:pPr>
      <w:r>
        <w:rPr>
          <w:bCs/>
          <w:b/>
        </w:rPr>
        <w:t xml:space="preserve">Recyclability Percentage (`prrildilum`):</w:t>
      </w:r>
      <w:r>
        <w:t xml:space="preserve"> </w:t>
      </w:r>
      <w:r>
        <w:t xml:space="preserve">80%.</w:t>
      </w:r>
    </w:p>
    <w:p>
      <w:pPr>
        <w:numPr>
          <w:ilvl w:val="0"/>
          <w:numId w:val="1008"/>
        </w:numPr>
        <w:pStyle w:val="Compact"/>
      </w:pPr>
      <w:r>
        <w:rPr>
          <w:bCs/>
          <w:b/>
        </w:rPr>
        <w:t xml:space="preserve">Circular/Take-back Programs (`jhqlosqjhe`):</w:t>
      </w:r>
      <w:r>
        <w:t xml:space="preserve"> </w:t>
      </w:r>
      <w:r>
        <w:t xml:space="preserve">Yes, regional take-back scheme implemented.</w:t>
      </w:r>
    </w:p>
    <w:bookmarkEnd w:id="30"/>
    <w:bookmarkEnd w:id="31"/>
    <w:bookmarkStart w:id="40" w:name="calculate-emissions"/>
    <w:p>
      <w:pPr>
        <w:pStyle w:val="Heading2"/>
      </w:pPr>
      <w:r>
        <w:t xml:space="preserve">4. Calculate Emissions</w:t>
      </w:r>
    </w:p>
    <w:p>
      <w:pPr>
        <w:pStyle w:val="FirstParagraph"/>
      </w:pPr>
      <w:r>
        <w:t xml:space="preserve">Emissions are calculated for each lifecycle stage using the formula: Activity Data × Emission Factor = CO2e. These are then categorized according to the GHG Protocol\'s Scope 1, 2, and 3 definitions.</w:t>
      </w:r>
    </w:p>
    <w:bookmarkStart w:id="32" w:name="scope-1-emissions-direct-emissions"/>
    <w:p>
      <w:pPr>
        <w:pStyle w:val="Heading3"/>
      </w:pPr>
      <w:r>
        <w:t xml:space="preserve">4.1. Scope 1 Emissions (Direct Emissions)</w:t>
      </w:r>
    </w:p>
    <w:p>
      <w:pPr>
        <w:pStyle w:val="FirstParagraph"/>
      </w:pPr>
      <w:r>
        <w:t xml:space="preserve">For this PCF, it is assumed that direct fuel combustion at the factory gate (e.g., company-owned vehicles, on-site heating) is either negligible or primarily covered by the purchased energy intensity. If direct combustion sources exist, they would be quantified here.</w:t>
      </w:r>
    </w:p>
    <w:p>
      <w:pPr>
        <w:numPr>
          <w:ilvl w:val="0"/>
          <w:numId w:val="1009"/>
        </w:numPr>
        <w:pStyle w:val="Compact"/>
      </w:pPr>
      <w:r>
        <w:rPr>
          <w:bCs/>
          <w:b/>
        </w:rPr>
        <w:t xml:space="preserve">Calculated Emissions:</w:t>
      </w:r>
      <w:r>
        <w:t xml:space="preserve"> </w:t>
      </w:r>
      <w:r>
        <w:t xml:space="preserve">0.00 kg CO2e (Assumed negligible for production process within the factory_gate boundary given provided parameters focus on purchased electricity).</w:t>
      </w:r>
    </w:p>
    <w:bookmarkEnd w:id="32"/>
    <w:bookmarkStart w:id="33"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product\'s manufacturing in China.</w:t>
      </w:r>
    </w:p>
    <w:p>
      <w:pPr>
        <w:numPr>
          <w:ilvl w:val="0"/>
          <w:numId w:val="1010"/>
        </w:numPr>
        <w:pStyle w:val="Compact"/>
      </w:pPr>
      <w:r>
        <w:rPr>
          <w:bCs/>
          <w:b/>
        </w:rPr>
        <w:t xml:space="preserve">Energy Intensity:</w:t>
      </w:r>
      <w:r>
        <w:t xml:space="preserve"> </w:t>
      </w:r>
      <w:r>
        <w:t xml:space="preserve">5 kWh/unit [cite: mywhkjrxvl].</w:t>
      </w:r>
    </w:p>
    <w:p>
      <w:pPr>
        <w:numPr>
          <w:ilvl w:val="0"/>
          <w:numId w:val="1010"/>
        </w:numPr>
        <w:pStyle w:val="Compact"/>
      </w:pPr>
      <w:r>
        <w:rPr>
          <w:bCs/>
          <w:b/>
        </w:rPr>
        <w:t xml:space="preserve">China Grid Emission Factor:</w:t>
      </w:r>
      <w:r>
        <w:t xml:space="preserve"> </w:t>
      </w:r>
      <w:r>
        <w:t xml:space="preserve">0.556 kg CO2e/kWh.</w:t>
      </w:r>
    </w:p>
    <w:p>
      <w:pPr>
        <w:numPr>
          <w:ilvl w:val="0"/>
          <w:numId w:val="1010"/>
        </w:numPr>
        <w:pStyle w:val="Compact"/>
      </w:pPr>
      <w:r>
        <w:rPr>
          <w:bCs/>
          <w:b/>
        </w:rPr>
        <w:t xml:space="preserve">Renewable Energy Usage:</w:t>
      </w:r>
      <w:r>
        <w:t xml:space="preserve"> </w:t>
      </w:r>
      <w:r>
        <w:t xml:space="preserve">70% [cite: kuwqhnovgj].</w:t>
      </w:r>
    </w:p>
    <w:p>
      <w:pPr>
        <w:numPr>
          <w:ilvl w:val="0"/>
          <w:numId w:val="1010"/>
        </w:numPr>
        <w:pStyle w:val="Compact"/>
      </w:pPr>
      <w:r>
        <w:rPr>
          <w:bCs/>
          <w:b/>
        </w:rPr>
        <w:t xml:space="preserve">Effective Grid Emission Factor:</w:t>
      </w:r>
      <w:r>
        <w:t xml:space="preserve"> </w:t>
      </w:r>
      <w:r>
        <w:t xml:space="preserve">0.556 kg CO2e/kWh × (1 - 0.70) = 0.1668 kg CO2e/kWh.</w:t>
      </w:r>
    </w:p>
    <w:p>
      <w:pPr>
        <w:numPr>
          <w:ilvl w:val="0"/>
          <w:numId w:val="1010"/>
        </w:numPr>
        <w:pStyle w:val="Compact"/>
      </w:pPr>
      <w:r>
        <w:rPr>
          <w:bCs/>
          <w:b/>
        </w:rPr>
        <w:t xml:space="preserve">Calculated Emissions:</w:t>
      </w:r>
      <w:r>
        <w:t xml:space="preserve"> </w:t>
      </w:r>
      <w:r>
        <w:t xml:space="preserve">5 kWh/unit × 0.1668 kg CO2e/kWh =</w:t>
      </w:r>
      <w:r>
        <w:t xml:space="preserve"> </w:t>
      </w:r>
      <w:r>
        <w:rPr>
          <w:bCs/>
          <w:b/>
        </w:rPr>
        <w:t xml:space="preserve">0.834 kg CO2e</w:t>
      </w:r>
      <w:r>
        <w:t xml:space="preserve">.</w:t>
      </w:r>
    </w:p>
    <w:bookmarkEnd w:id="33"/>
    <w:bookmarkStart w:id="38" w:name="scope-3-emissions-value-chain-emissions"/>
    <w:p>
      <w:pPr>
        <w:pStyle w:val="Heading3"/>
      </w:pPr>
      <w:r>
        <w:t xml:space="preserve">4.3. Scope 3 Emissions (Value Chain Emissions)</w:t>
      </w:r>
    </w:p>
    <w:p>
      <w:pPr>
        <w:pStyle w:val="FirstParagraph"/>
      </w:pPr>
      <w:r>
        <w:t xml:space="preserve">Scope 3 emissions encompass all other indirect emissions from the value chain, both upstream and downstream. This is typically the largest portion of a product\'s carbon footprint.</w:t>
      </w:r>
    </w:p>
    <w:bookmarkStart w:id="34" w:name="X927fbd517bdc60d669d2f57402a6dfc4c869428"/>
    <w:p>
      <w:pPr>
        <w:pStyle w:val="Heading4"/>
      </w:pPr>
      <w:r>
        <w:t xml:space="preserve">4.3.1. Material Acquisition &amp; Pre-processing (Category 1)</w:t>
      </w:r>
    </w:p>
    <w:p>
      <w:pPr>
        <w:pStyle w:val="FirstParagraph"/>
      </w:pPr>
      <w:r>
        <w:t xml:space="preserve">Emissions from the extraction, production, and pre-processing of raw materials.</w:t>
      </w:r>
    </w:p>
    <w:p>
      <w:pPr>
        <w:numPr>
          <w:ilvl w:val="0"/>
          <w:numId w:val="1011"/>
        </w:numPr>
        <w:pStyle w:val="Compact"/>
      </w:pPr>
      <w:r>
        <w:rPr>
          <w:bCs/>
          <w:b/>
        </w:rPr>
        <w:t xml:space="preserve">Calculated Emissions:</w:t>
      </w:r>
      <w:r>
        <w:t xml:space="preserve"> </w:t>
      </w:r>
      <w:r>
        <w:t xml:space="preserve">Sum of "Total Carbon" from BOM table =</w:t>
      </w:r>
      <w:r>
        <w:t xml:space="preserve"> </w:t>
      </w:r>
      <w:r>
        <w:rPr>
          <w:bCs/>
          <w:b/>
        </w:rPr>
        <w:t xml:space="preserve">7.806 kg CO2e</w:t>
      </w:r>
      <w:r>
        <w:t xml:space="preserve">.</w:t>
      </w:r>
    </w:p>
    <w:bookmarkEnd w:id="34"/>
    <w:bookmarkStart w:id="35" w:name="transportation-category-4-9"/>
    <w:p>
      <w:pPr>
        <w:pStyle w:val="Heading4"/>
      </w:pPr>
      <w:r>
        <w:t xml:space="preserve">4.3.2. Transportation (Category 4 &amp; 9)</w:t>
      </w:r>
    </w:p>
    <w:p>
      <w:pPr>
        <w:pStyle w:val="FirstParagraph"/>
      </w:pPr>
      <w:r>
        <w:t xml:space="preserve">Emissions from the transport of materials and the finished product.</w:t>
      </w:r>
    </w:p>
    <w:p>
      <w:pPr>
        <w:numPr>
          <w:ilvl w:val="0"/>
          <w:numId w:val="1012"/>
        </w:numPr>
        <w:pStyle w:val="Compact"/>
      </w:pPr>
      <w:r>
        <w:rPr>
          <w:bCs/>
          <w:b/>
        </w:rPr>
        <w:t xml:space="preserve">Upstream Transportation (e.g., materials from Europe to China):</w:t>
      </w:r>
    </w:p>
    <w:p>
      <w:pPr>
        <w:numPr>
          <w:ilvl w:val="1"/>
          <w:numId w:val="1013"/>
        </w:numPr>
        <w:pStyle w:val="Compact"/>
      </w:pPr>
      <w:r>
        <w:t xml:space="preserve">Assumed Product Weight (including packaging): 1.5 kg.</w:t>
      </w:r>
    </w:p>
    <w:p>
      <w:pPr>
        <w:numPr>
          <w:ilvl w:val="1"/>
          <w:numId w:val="1013"/>
        </w:numPr>
        <w:pStyle w:val="Compact"/>
      </w:pPr>
      <w:r>
        <w:t xml:space="preserve">Transport Distance: 2000 km [cite: tfgdpnzhxp].</w:t>
      </w:r>
    </w:p>
    <w:p>
      <w:pPr>
        <w:numPr>
          <w:ilvl w:val="1"/>
          <w:numId w:val="1013"/>
        </w:numPr>
        <w:pStyle w:val="Compact"/>
      </w:pPr>
      <w:r>
        <w:t xml:space="preserve">Transport Mode: Road Freight (HGV &gt; 20t) [cite: "Select Mode"].</w:t>
      </w:r>
    </w:p>
    <w:p>
      <w:pPr>
        <w:numPr>
          <w:ilvl w:val="1"/>
          <w:numId w:val="1013"/>
        </w:numPr>
        <w:pStyle w:val="Compact"/>
      </w:pPr>
      <w:r>
        <w:t xml:space="preserve">Emission Factor: 0.092 kg CO2e/tonne-km (Europe).</w:t>
      </w:r>
    </w:p>
    <w:p>
      <w:pPr>
        <w:numPr>
          <w:ilvl w:val="1"/>
          <w:numId w:val="1013"/>
        </w:numPr>
        <w:pStyle w:val="Compact"/>
      </w:pPr>
      <w:r>
        <w:rPr>
          <w:bCs/>
          <w:b/>
        </w:rPr>
        <w:t xml:space="preserve">Calculated Emissions:</w:t>
      </w:r>
      <w:r>
        <w:t xml:space="preserve"> </w:t>
      </w:r>
      <w:r>
        <w:t xml:space="preserve">(1.5 kg / 1000 kg/tonne) × 2000 km × 0.092 kg CO2e/tkm =</w:t>
      </w:r>
      <w:r>
        <w:t xml:space="preserve"> </w:t>
      </w:r>
      <w:r>
        <w:rPr>
          <w:bCs/>
          <w:b/>
        </w:rPr>
        <w:t xml:space="preserve">0.276 kg CO2e</w:t>
      </w:r>
      <w:r>
        <w:t xml:space="preserve">.</w:t>
      </w:r>
    </w:p>
    <w:p>
      <w:pPr>
        <w:numPr>
          <w:ilvl w:val="0"/>
          <w:numId w:val="1012"/>
        </w:numPr>
        <w:pStyle w:val="Compact"/>
      </w:pPr>
      <w:r>
        <w:rPr>
          <w:bCs/>
          <w:b/>
        </w:rPr>
        <w:t xml:space="preserve">Downstream Transportation (Last-Mile Delivery):</w:t>
      </w:r>
    </w:p>
    <w:p>
      <w:pPr>
        <w:numPr>
          <w:ilvl w:val="1"/>
          <w:numId w:val="1014"/>
        </w:numPr>
        <w:pStyle w:val="Compact"/>
      </w:pPr>
      <w:r>
        <w:t xml:space="preserve">Delivery Distance: 100 km (illustrative for last-mile delivery).</w:t>
      </w:r>
    </w:p>
    <w:p>
      <w:pPr>
        <w:numPr>
          <w:ilvl w:val="1"/>
          <w:numId w:val="1014"/>
        </w:numPr>
        <w:pStyle w:val="Compact"/>
      </w:pPr>
      <w:r>
        <w:t xml:space="preserve">Delivery Channel: Van Delivery [cite: "Delivery Type"].</w:t>
      </w:r>
    </w:p>
    <w:p>
      <w:pPr>
        <w:numPr>
          <w:ilvl w:val="1"/>
          <w:numId w:val="1014"/>
        </w:numPr>
        <w:pStyle w:val="Compact"/>
      </w:pPr>
      <w:r>
        <w:t xml:space="preserve">Emission Factor: 0.24 kg CO2e/km (average van).</w:t>
      </w:r>
    </w:p>
    <w:p>
      <w:pPr>
        <w:numPr>
          <w:ilvl w:val="1"/>
          <w:numId w:val="1014"/>
        </w:numPr>
        <w:pStyle w:val="Compact"/>
      </w:pPr>
      <w:r>
        <w:t xml:space="preserve">Allocation: Assuming 100 units delivered per 100 km van trip.</w:t>
      </w:r>
    </w:p>
    <w:p>
      <w:pPr>
        <w:numPr>
          <w:ilvl w:val="1"/>
          <w:numId w:val="1014"/>
        </w:numPr>
        <w:pStyle w:val="Compact"/>
      </w:pPr>
      <w:r>
        <w:rPr>
          <w:bCs/>
          <w:b/>
        </w:rPr>
        <w:t xml:space="preserve">Calculated Emissions per unit:</w:t>
      </w:r>
      <w:r>
        <w:t xml:space="preserve"> </w:t>
      </w:r>
      <w:r>
        <w:t xml:space="preserve">(100 km × 0.24 kg CO2e/km) / 100 units =</w:t>
      </w:r>
      <w:r>
        <w:t xml:space="preserve"> </w:t>
      </w:r>
      <w:r>
        <w:rPr>
          <w:bCs/>
          <w:b/>
        </w:rPr>
        <w:t xml:space="preserve">0.24 kg CO2e</w:t>
      </w:r>
      <w:r>
        <w:t xml:space="preserve">.</w:t>
      </w:r>
    </w:p>
    <w:bookmarkEnd w:id="35"/>
    <w:bookmarkStart w:id="36" w:name="use-of-sold-products-category-11"/>
    <w:p>
      <w:pPr>
        <w:pStyle w:val="Heading4"/>
      </w:pPr>
      <w:r>
        <w:t xml:space="preserve">4.3.3. Use of Sold Products (Category 11)</w:t>
      </w:r>
    </w:p>
    <w:p>
      <w:pPr>
        <w:pStyle w:val="FirstParagraph"/>
      </w:pPr>
      <w:r>
        <w:t xml:space="preserve">Emissions from the energy consumed by the product during its operational lifespan.</w:t>
      </w:r>
    </w:p>
    <w:p>
      <w:pPr>
        <w:numPr>
          <w:ilvl w:val="0"/>
          <w:numId w:val="1015"/>
        </w:numPr>
        <w:pStyle w:val="Compact"/>
      </w:pPr>
      <w:r>
        <w:rPr>
          <w:bCs/>
          <w:b/>
        </w:rPr>
        <w:t xml:space="preserve">Product Lifespan:</w:t>
      </w:r>
      <w:r>
        <w:t xml:space="preserve"> </w:t>
      </w:r>
      <w:r>
        <w:t xml:space="preserve">5 years [cite: egndfgzdrf].</w:t>
      </w:r>
    </w:p>
    <w:p>
      <w:pPr>
        <w:numPr>
          <w:ilvl w:val="0"/>
          <w:numId w:val="1015"/>
        </w:numPr>
        <w:pStyle w:val="Compact"/>
      </w:pPr>
      <w:r>
        <w:rPr>
          <w:bCs/>
          <w:b/>
        </w:rPr>
        <w:t xml:space="preserve">Energy Consumption in Use:</w:t>
      </w:r>
      <w:r>
        <w:t xml:space="preserve"> </w:t>
      </w:r>
      <w:r>
        <w:t xml:space="preserve">10 kWh/year [cite: lwomwemtkr].</w:t>
      </w:r>
    </w:p>
    <w:p>
      <w:pPr>
        <w:numPr>
          <w:ilvl w:val="0"/>
          <w:numId w:val="1015"/>
        </w:numPr>
        <w:pStyle w:val="Compact"/>
      </w:pPr>
      <w:r>
        <w:rPr>
          <w:bCs/>
          <w:b/>
        </w:rPr>
        <w:t xml:space="preserve">Total Use Phase Energy:</w:t>
      </w:r>
      <w:r>
        <w:t xml:space="preserve"> </w:t>
      </w:r>
      <w:r>
        <w:t xml:space="preserve">10 kWh/year × 5 years = 50 kWh.</w:t>
      </w:r>
    </w:p>
    <w:p>
      <w:pPr>
        <w:numPr>
          <w:ilvl w:val="0"/>
          <w:numId w:val="1015"/>
        </w:numPr>
        <w:pStyle w:val="Compact"/>
      </w:pPr>
      <w:r>
        <w:rPr>
          <w:bCs/>
          <w:b/>
        </w:rPr>
        <w:t xml:space="preserve">Assumed Electricity Emission Factor (User location average):</w:t>
      </w:r>
      <w:r>
        <w:t xml:space="preserve"> </w:t>
      </w:r>
      <w:r>
        <w:t xml:space="preserve">0.3 kg CO2e/kWh (illustrative global average).</w:t>
      </w:r>
    </w:p>
    <w:p>
      <w:pPr>
        <w:numPr>
          <w:ilvl w:val="0"/>
          <w:numId w:val="1015"/>
        </w:numPr>
        <w:pStyle w:val="Compact"/>
      </w:pPr>
      <w:r>
        <w:rPr>
          <w:bCs/>
          <w:b/>
        </w:rPr>
        <w:t xml:space="preserve">Calculated Emissions:</w:t>
      </w:r>
      <w:r>
        <w:t xml:space="preserve"> </w:t>
      </w:r>
      <w:r>
        <w:t xml:space="preserve">50 kWh × 0.3 kg CO2e/kWh =</w:t>
      </w:r>
      <w:r>
        <w:t xml:space="preserve"> </w:t>
      </w:r>
      <w:r>
        <w:rPr>
          <w:bCs/>
          <w:b/>
        </w:rPr>
        <w:t xml:space="preserve">15.000 kg CO2e</w:t>
      </w:r>
      <w:r>
        <w:t xml:space="preserve">.</w:t>
      </w:r>
    </w:p>
    <w:bookmarkEnd w:id="36"/>
    <w:bookmarkStart w:id="37" w:name="X7eecd0528a4129578e12f0f82acdf78ed4201e7"/>
    <w:p>
      <w:pPr>
        <w:pStyle w:val="Heading4"/>
      </w:pPr>
      <w:r>
        <w:t xml:space="preserve">4.3.4. End-of-Life Treatment of Sold Products (Category 12)</w:t>
      </w:r>
    </w:p>
    <w:p>
      <w:pPr>
        <w:pStyle w:val="FirstParagraph"/>
      </w:pPr>
      <w:r>
        <w:t xml:space="preserve">Emissions associated with the disposal and treatment of the product at the end of its life.</w:t>
      </w:r>
    </w:p>
    <w:p>
      <w:pPr>
        <w:numPr>
          <w:ilvl w:val="0"/>
          <w:numId w:val="1016"/>
        </w:numPr>
        <w:pStyle w:val="Compact"/>
      </w:pPr>
      <w:r>
        <w:rPr>
          <w:bCs/>
          <w:b/>
        </w:rPr>
        <w:t xml:space="preserve">Total Product Mass (for EoL):</w:t>
      </w:r>
      <w:r>
        <w:t xml:space="preserve"> </w:t>
      </w:r>
      <w:r>
        <w:t xml:space="preserve">1.5 kg.</w:t>
      </w:r>
    </w:p>
    <w:p>
      <w:pPr>
        <w:numPr>
          <w:ilvl w:val="0"/>
          <w:numId w:val="1016"/>
        </w:numPr>
        <w:pStyle w:val="Compact"/>
      </w:pPr>
      <w:r>
        <w:rPr>
          <w:bCs/>
          <w:b/>
        </w:rPr>
        <w:t xml:space="preserve">Recyclability Percentage:</w:t>
      </w:r>
      <w:r>
        <w:t xml:space="preserve"> </w:t>
      </w:r>
      <w:r>
        <w:t xml:space="preserve">80% [cite: prrildilum].</w:t>
      </w:r>
    </w:p>
    <w:p>
      <w:pPr>
        <w:numPr>
          <w:ilvl w:val="0"/>
          <w:numId w:val="1016"/>
        </w:numPr>
        <w:pStyle w:val="Compact"/>
      </w:pPr>
      <w:r>
        <w:rPr>
          <w:bCs/>
          <w:b/>
        </w:rPr>
        <w:t xml:space="preserve">Mass to Waste (Landfill/Incineration):</w:t>
      </w:r>
      <w:r>
        <w:t xml:space="preserve"> </w:t>
      </w:r>
      <w:r>
        <w:t xml:space="preserve">1.5 kg × (1 - 0.80) = 0.3 kg.</w:t>
      </w:r>
    </w:p>
    <w:p>
      <w:pPr>
        <w:numPr>
          <w:ilvl w:val="0"/>
          <w:numId w:val="1016"/>
        </w:numPr>
        <w:pStyle w:val="Compact"/>
      </w:pPr>
      <w:r>
        <w:rPr>
          <w:bCs/>
          <w:b/>
        </w:rPr>
        <w:t xml:space="preserve">Illustrative Emission Factor for Waste:</w:t>
      </w:r>
      <w:r>
        <w:t xml:space="preserve"> </w:t>
      </w:r>
      <w:r>
        <w:t xml:space="preserve">1.0 kg CO2e/kg.</w:t>
      </w:r>
    </w:p>
    <w:p>
      <w:pPr>
        <w:numPr>
          <w:ilvl w:val="0"/>
          <w:numId w:val="1016"/>
        </w:numPr>
        <w:pStyle w:val="Compact"/>
      </w:pPr>
      <w:r>
        <w:rPr>
          <w:bCs/>
          <w:b/>
        </w:rPr>
        <w:t xml:space="preserve">Calculated Emissions:</w:t>
      </w:r>
      <w:r>
        <w:t xml:space="preserve"> </w:t>
      </w:r>
      <w:r>
        <w:t xml:space="preserve">0.3 kg × 1.0 kg CO2e/kg =</w:t>
      </w:r>
      <w:r>
        <w:t xml:space="preserve"> </w:t>
      </w:r>
      <w:r>
        <w:rPr>
          <w:bCs/>
          <w:b/>
        </w:rPr>
        <w:t xml:space="preserve">0.300 kg CO2e</w:t>
      </w:r>
      <w:r>
        <w:t xml:space="preserve">.</w:t>
      </w:r>
    </w:p>
    <w:p>
      <w:pPr>
        <w:numPr>
          <w:ilvl w:val="0"/>
          <w:numId w:val="1016"/>
        </w:numPr>
        <w:pStyle w:val="Compact"/>
      </w:pPr>
      <w:r>
        <w:rPr>
          <w:bCs/>
          <w:b/>
        </w:rPr>
        <w:t xml:space="preserve">Circular/Take-back Programs:</w:t>
      </w:r>
      <w:r>
        <w:t xml:space="preserve"> </w:t>
      </w:r>
      <w:r>
        <w:t xml:space="preserve">The existence of a regional take-back scheme (`jhqlosqjhe`) can mitigate EoL impacts by increasing actual recycling rates and potentially leading to avoided emissions credits from virgin material production in a more detailed assessment.</w:t>
      </w:r>
    </w:p>
    <w:bookmarkEnd w:id="37"/>
    <w:bookmarkEnd w:id="38"/>
    <w:bookmarkStart w:id="39" w:name="summary-of-product-carbon-footprint-pcf"/>
    <w:p>
      <w:pPr>
        <w:pStyle w:val="Heading3"/>
      </w:pPr>
      <w:r>
        <w:t xml:space="preserve">4.4. Summary of Product Carbon Footprint (PCF)</w:t>
      </w:r>
    </w:p>
    <w:p>
      <w:pPr>
        <w:pStyle w:val="FirstParagraph"/>
      </w:pPr>
      <w:r>
        <w:t xml:space="preserve">The total carbon footprint for one functional unit of "dwewttjfxw"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7.806</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0.834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0.276</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0.240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0.300</w:t>
            </w:r>
          </w:p>
        </w:tc>
      </w:tr>
      <w:tr>
        <w:tc>
          <w:tcPr>
            <w:gridSpan w:val="2"/>
          </w:tcPr>
          <w:p>
            <w:pPr>
              <w:pStyle w:val="Compact"/>
              <w:jc w:val="right"/>
            </w:pPr>
            <w:r>
              <w:t xml:space="preserve">Total Product Carbon Footprint (kg CO2e)</w:t>
            </w:r>
          </w:p>
        </w:tc>
        <w:tc>
          <w:tcPr/>
          <w:p>
            <w:pPr>
              <w:pStyle w:val="Compact"/>
              <w:jc w:val="left"/>
            </w:pPr>
            <w:r>
              <w:rPr>
                <w:bCs/>
                <w:b/>
              </w:rPr>
              <w:t xml:space="preserve">24.456</w:t>
            </w:r>
          </w:p>
        </w:tc>
      </w:tr>
    </w:tbl>
    <w:bookmarkEnd w:id="39"/>
    <w:bookmarkEnd w:id="40"/>
    <w:bookmarkStart w:id="44" w:name="review-report"/>
    <w:p>
      <w:pPr>
        <w:pStyle w:val="Heading2"/>
      </w:pPr>
      <w:r>
        <w:t xml:space="preserve">5. Review &amp; Report</w:t>
      </w:r>
    </w:p>
    <w:p>
      <w:pPr>
        <w:pStyle w:val="FirstParagraph"/>
      </w:pPr>
      <w:r>
        <w:t xml:space="preserve">This section identifies emission hotspots and discusses the reliability of the data, along with compliance with the latest GHG Protocol updates.</w:t>
      </w:r>
    </w:p>
    <w:bookmarkStart w:id="41" w:name="emission-hotspots"/>
    <w:p>
      <w:pPr>
        <w:pStyle w:val="Heading3"/>
      </w:pPr>
      <w:r>
        <w:t xml:space="preserve">5.1. Emission Hotspots</w:t>
      </w:r>
    </w:p>
    <w:p>
      <w:pPr>
        <w:pStyle w:val="FirstParagraph"/>
      </w:pPr>
      <w:r>
        <w:t xml:space="preserve">The primary hotspots for the "dwewttjfxw" product\'s carbon footprint are:</w:t>
      </w:r>
    </w:p>
    <w:p>
      <w:pPr>
        <w:numPr>
          <w:ilvl w:val="0"/>
          <w:numId w:val="1017"/>
        </w:numPr>
        <w:pStyle w:val="Compact"/>
      </w:pPr>
      <w:r>
        <w:rPr>
          <w:bCs/>
          <w:b/>
        </w:rPr>
        <w:t xml:space="preserve">Use Phase (15.00 kg CO2e):</w:t>
      </w:r>
      <w:r>
        <w:t xml:space="preserve"> </w:t>
      </w:r>
      <w:r>
        <w:t xml:space="preserve">This stage contributes the most significantly to the overall PCF, primarily due to electricity consumption over the product\'s lifespan. Efforts to improve energy efficiency of the product in use or encourage renewable energy adoption by end-users would yield substantial reductions.</w:t>
      </w:r>
    </w:p>
    <w:p>
      <w:pPr>
        <w:numPr>
          <w:ilvl w:val="0"/>
          <w:numId w:val="1017"/>
        </w:numPr>
        <w:pStyle w:val="Compact"/>
      </w:pPr>
      <w:r>
        <w:rPr>
          <w:bCs/>
          <w:b/>
        </w:rPr>
        <w:t xml:space="preserve">Material Acquisition &amp; Pre-processing (7.81 kg CO2e):</w:t>
      </w:r>
      <w:r>
        <w:t xml:space="preserve"> </w:t>
      </w:r>
      <w:r>
        <w:t xml:space="preserve">The embodied emissions in raw materials, particularly aluminum, and plastics, represent the second largest contributor. Sourcing materials with lower embodied carbon, increasing recycled content, or exploring alternative materials are key mitigation strategies.</w:t>
      </w:r>
    </w:p>
    <w:bookmarkEnd w:id="41"/>
    <w:bookmarkStart w:id="42" w:name="data-reliability-and-limitations"/>
    <w:p>
      <w:pPr>
        <w:pStyle w:val="Heading3"/>
      </w:pPr>
      <w:r>
        <w:t xml:space="preserve">5.2. Data Reliability and Limitations</w:t>
      </w:r>
    </w:p>
    <w:p>
      <w:pPr>
        <w:pStyle w:val="FirstParagraph"/>
      </w:pPr>
      <w:r>
        <w:t xml:space="preserve">The calculations utilize a blend of primary data (e.g., specific BOM quantities, energy intensity, renewable energy usage) and secondary, industry-average emission factors (e.g., from Ecoinvent/DEFRA equivalents) for various processes and materials. While every effort has been made to select appropriate factors based on the geographic scope, variations in actual supplier-specific data could impact the final footprint. The use phase emissions are based on assumed average user electricity consumption, which may vary depending on actual usage patterns and regional grid mixes.</w:t>
      </w:r>
    </w:p>
    <w:bookmarkEnd w:id="42"/>
    <w:bookmarkStart w:id="43" w:name="X8877664c7f8833a514558f437f739c3634cd437"/>
    <w:p>
      <w:pPr>
        <w:pStyle w:val="Heading3"/>
      </w:pPr>
      <w:r>
        <w:t xml:space="preserve">5.3. Adherence to GHG Protocol and 2026 Updates</w:t>
      </w:r>
    </w:p>
    <w:p>
      <w:pPr>
        <w:pStyle w:val="FirstParagraph"/>
      </w:pPr>
      <w:r>
        <w:t xml:space="preserve">This analysis adheres to the GHG Protocol Corporate and Product Standards, explicitly categorizing emissions into Scope 1, Scope 2, and Scope 3.</w:t>
      </w:r>
    </w:p>
    <w:p>
      <w:pPr>
        <w:numPr>
          <w:ilvl w:val="0"/>
          <w:numId w:val="1018"/>
        </w:numPr>
        <w:pStyle w:val="Compact"/>
      </w:pPr>
      <w:r>
        <w:rPr>
          <w:bCs/>
          <w:b/>
        </w:rPr>
        <w:t xml:space="preserve">2026 LSR Update:</w:t>
      </w:r>
      <w:r>
        <w:t xml:space="preserve"> </w:t>
      </w:r>
      <w:r>
        <w:t xml:space="preserve">The Land Sector and Removals (LSR) Standard, effective January 1, 2027, provides comprehensive guidance for accounting for land emissions, CO2 removals, and technological CO2 removals. While this PCF does not include direct land-use change emissions, future assessments, especially for bio-based materials or processes with significant land-use impacts, will integrate the detailed requirements of the LSR Standard. The accompanying guidance is expected in Q2 2026.</w:t>
      </w:r>
    </w:p>
    <w:p>
      <w:pPr>
        <w:numPr>
          <w:ilvl w:val="0"/>
          <w:numId w:val="1018"/>
        </w:numPr>
        <w:pStyle w:val="Compact"/>
      </w:pPr>
      <w:r>
        <w:rPr>
          <w:bCs/>
          <w:b/>
        </w:rPr>
        <w:t xml:space="preserve">Scope 3 Compliance:</w:t>
      </w:r>
      <w:r>
        <w:t xml:space="preserve"> </w:t>
      </w:r>
      <w:r>
        <w:t xml:space="preserve">As per the 2026 requirements, companies claiming conformance with the Scope 3 Standard must report at least 95% of total required Scope 3 emissions. This report covers all major Scope 3 categories relevant to "dwewttjfxw" based on available data, striving for comprehensive coverage and setting the foundation for future data disaggregation by data type as proposed by the GHG Protocol.</w:t>
      </w:r>
    </w:p>
    <w:bookmarkEnd w:id="43"/>
    <w:bookmarkEnd w:id="44"/>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dwewttjfxw</dc:title>
  <dc:creator/>
  <dc:description>Detailed Product Carbon Footprint (PCF) analysis report for dwewttjfxw, calculating greenhouse gas emissions across its lifecycle in accordance with the GHG Protocol.</dc:description>
  <dc:language>en</dc:language>
  <cp:keywords/>
  <dcterms:created xsi:type="dcterms:W3CDTF">2026-07-15T18:08:39Z</dcterms:created>
  <dcterms:modified xsi:type="dcterms:W3CDTF">2026-07-15T18:08:39Z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