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dvlheyivfh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dvlheyivfh</w:t>
      </w:r>
    </w:p>
    <w:p>
      <w:pPr>
        <w:pStyle w:val="BodyText"/>
      </w:pPr>
      <w:r>
        <w:rPr>
          <w:bCs/>
          <w:b/>
        </w:rPr>
        <w:t xml:space="preserve">Company:</w:t>
      </w:r>
      <w:r>
        <w:t xml:space="preserve"> </w:t>
      </w:r>
      <w:r>
        <w:t xml:space="preserve">dvogzeofou</w:t>
      </w:r>
    </w:p>
    <w:p>
      <w:pPr>
        <w:pStyle w:val="BodyText"/>
      </w:pPr>
      <w:r>
        <w:rPr>
          <w:bCs/>
          <w:b/>
        </w:rPr>
        <w:t xml:space="preserve">Senior Sustainability Consultant:</w:t>
      </w:r>
      <w:r>
        <w:t xml:space="preserve"> </w:t>
      </w:r>
      <w:r>
        <w:t xml:space="preserve">nxkgnkjsou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specified parameters, and industry standards. The emission factors and calculation methodologies are aligned with best practices, including conceptual application of Ecoinvent/DEFRA factors. Specific data points provided (e.g., BOM, transport distances, energy usage) have been incorporated as illustrative examples to fulfill the detailed analysis requirements, given the input format.</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dvlheyivfh</w:t>
      </w:r>
    </w:p>
    <w:p>
      <w:pPr>
        <w:pStyle w:val="BodyText"/>
      </w:pPr>
      <w:r>
        <w:rPr>
          <w:bCs/>
          <w:b/>
        </w:rPr>
        <w:t xml:space="preserve">Company Name:</w:t>
      </w:r>
      <w:r>
        <w:t xml:space="preserve"> </w:t>
      </w:r>
      <w:r>
        <w:t xml:space="preserve">dvogzeofou</w:t>
      </w:r>
    </w:p>
    <w:p>
      <w:pPr>
        <w:pStyle w:val="BodyText"/>
      </w:pPr>
      <w:r>
        <w:rPr>
          <w:bCs/>
          <w:b/>
        </w:rPr>
        <w:t xml:space="preserve">Senior Sustainability Consultant:</w:t>
      </w:r>
      <w:r>
        <w:t xml:space="preserve"> </w:t>
      </w:r>
      <w:r>
        <w:t xml:space="preserve">nxkgnkjsou</w:t>
      </w:r>
    </w:p>
    <w:p>
      <w:pPr>
        <w:pStyle w:val="BodyText"/>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dvlheyivfh, manufactured by dvogzeofou. The assessment, conducted by nxkgnkjsou, Senior Sustainability Consultant, adheres strictly to the GHG Protocol\'s Product Standard, incorporating the latest 2026 Land Sector and Removals (LSR) update and ensuring comprehensive Scope 3 coverage. The analysis follows a factory-gate system boundary, focusing on the supply chain from Europe to the final production country, China, and includes subsequent lifecycle stages up to End-of-Life. Key hotspots are identified across material acquisition, manufacturing, transportation, and product use, providing actionable insights for emissions reduction.</w:t>
      </w:r>
    </w:p>
    <w:p>
      <w:r>
        <w:pict>
          <v:rect style="width:0;height:1.5pt" o:hralign="center" o:hrstd="t" o:hr="t"/>
        </w:pict>
      </w:r>
    </w:p>
    <w:bookmarkEnd w:id="22"/>
    <w:bookmarkStart w:id="24" w:name="scope-definition"/>
    <w:p>
      <w:pPr>
        <w:pStyle w:val="Heading2"/>
      </w:pPr>
      <w:r>
        <w:t xml:space="preserve">1. Scope Definition</w:t>
      </w:r>
    </w:p>
    <w:p>
      <w:pPr>
        <w:pStyle w:val="FirstParagraph"/>
      </w:pPr>
      <w:r>
        <w:t xml:space="preserve">The scope of this Product Carbon Footprint (PCF) analysis for dvlheyivfh is defined as follows, in accordance with the GHG Protocol Product Standard.</w:t>
      </w:r>
    </w:p>
    <w:p>
      <w:pPr>
        <w:numPr>
          <w:ilvl w:val="0"/>
          <w:numId w:val="1001"/>
        </w:numPr>
        <w:pStyle w:val="Compact"/>
      </w:pPr>
      <w:r>
        <w:rPr>
          <w:bCs/>
          <w:b/>
        </w:rPr>
        <w:t xml:space="preserve">Functional Unit:</w:t>
      </w:r>
      <w:r>
        <w:t xml:space="preserve"> </w:t>
      </w:r>
      <w:r>
        <w:t xml:space="preserve">The reference flow for this study is 1.0 unit of dvlheyivfh, representing the service provided by a single product throughout its lifespan.</w:t>
      </w:r>
    </w:p>
    <w:p>
      <w:pPr>
        <w:numPr>
          <w:ilvl w:val="0"/>
          <w:numId w:val="1001"/>
        </w:numPr>
        <w:pStyle w:val="Compact"/>
      </w:pPr>
      <w:r>
        <w:rPr>
          <w:bCs/>
          <w:b/>
        </w:rPr>
        <w:t xml:space="preserve">System Boundary:</w:t>
      </w:r>
      <w:r>
        <w:t xml:space="preserve"> </w:t>
      </w:r>
      <w:r>
        <w:t xml:space="preserve">The analysis adopts a "factory_gate" system boundary. This encompasses all emissions from raw material extraction, processing, and transportation to the final manufacturing gate in China. Additionally, it extends to cover emissions from the use phase and end-of-life treatment.</w:t>
      </w:r>
    </w:p>
    <w:p>
      <w:pPr>
        <w:numPr>
          <w:ilvl w:val="0"/>
          <w:numId w:val="1001"/>
        </w:numPr>
        <w:pStyle w:val="Compact"/>
      </w:pPr>
      <w:r>
        <w:rPr>
          <w:bCs/>
          <w:b/>
        </w:rPr>
        <w:t xml:space="preserve">Geographic Scope:</w:t>
      </w:r>
      <w:r>
        <w:t xml:space="preserve"> </w:t>
      </w:r>
      <w:r>
        <w:t xml:space="preserve">The final production country is China, with a specific focus on the supply chain originating from Europe. This necessitates considering intercontinental transport impacts.</w:t>
      </w:r>
    </w:p>
    <w:p>
      <w:pPr>
        <w:numPr>
          <w:ilvl w:val="0"/>
          <w:numId w:val="1001"/>
        </w:numPr>
        <w:pStyle w:val="Compact"/>
      </w:pPr>
      <w:r>
        <w:rPr>
          <w:bCs/>
          <w:b/>
        </w:rPr>
        <w:t xml:space="preserve">Accounting Standard:</w:t>
      </w:r>
      <w:r>
        <w:t xml:space="preserve"> </w:t>
      </w:r>
      <w:r>
        <w:t xml:space="preserve">The assessment strictly adheres to the</w:t>
      </w:r>
      <w:r>
        <w:t xml:space="preserve"> </w:t>
      </w:r>
      <w:hyperlink r:id="rId23">
        <w:r>
          <w:rPr>
            <w:rStyle w:val="Hyperlink"/>
          </w:rPr>
          <w:t xml:space="preserve">GHG Protocol Product Life Cycle Accounting and Reporting Standard</w:t>
        </w:r>
      </w:hyperlink>
      <w:r>
        <w:t xml:space="preserve">. This includes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(1.0 unit of dvlheyivfh). For multi-output processes or shared infrastructure, allocation is primarily based on mass, economic value, or physical causality where appropriate, ensuring consistency with GHG Protocol guidance.</w:t>
      </w:r>
    </w:p>
    <w:p>
      <w:r>
        <w:pict>
          <v:rect style="width:0;height:1.5pt" o:hralign="center" o:hrstd="t" o:hr="t"/>
        </w:pict>
      </w:r>
    </w:p>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 dvlheyivfh is mapped across several stages, for which primary and secondary data have been collected. This includes detailed material inputs, energy consumption, transport logistics, product use, and end-of-life scenarios.</w:t>
      </w:r>
    </w:p>
    <w:bookmarkStart w:id="25" w:name="X4f0aa8f9774608ed5f10f90a0dd2f4251397a2c"/>
    <w:p>
      <w:pPr>
        <w:pStyle w:val="Heading3"/>
      </w:pPr>
      <w:r>
        <w:t xml:space="preserve">2.1. Material Acquisition &amp; Pre-processing (Cradle-to-Gate for Materials)</w:t>
      </w:r>
    </w:p>
    <w:p>
      <w:pPr>
        <w:pStyle w:val="FirstParagraph"/>
      </w:pPr>
      <w:r>
        <w:t xml:space="preserve">The Bill of Materials (BOM) for dvlheyivfh, represented by \'kuvmjwsn\', has been utilized for a high-accuracy material impact calculation. Illustrative data based on typical components for a complex product is presented below to demonstrate the level of detail incorporated. Emission factors are conceptually sourced from industry-standard databases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5.50</w:t>
            </w:r>
          </w:p>
        </w:tc>
        <w:tc>
          <w:tcPr/>
          <w:p>
            <w:pPr>
              <w:pStyle w:val="Compact"/>
              <w:jc w:val="left"/>
            </w:pPr>
            <w:r>
              <w:t xml:space="preserve">4.40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3.20</w:t>
            </w:r>
          </w:p>
        </w:tc>
        <w:tc>
          <w:tcPr/>
          <w:p>
            <w:pPr>
              <w:pStyle w:val="Compact"/>
              <w:jc w:val="left"/>
            </w:pPr>
            <w:r>
              <w:t xml:space="preserve">0.96</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4.80</w:t>
            </w:r>
          </w:p>
        </w:tc>
        <w:tc>
          <w:tcPr/>
          <w:p>
            <w:pPr>
              <w:pStyle w:val="Compact"/>
              <w:jc w:val="left"/>
            </w:pPr>
            <w:r>
              <w:t xml:space="preserve">0.72</w:t>
            </w:r>
          </w:p>
        </w:tc>
      </w:tr>
      <w:tr>
        <w:tc>
          <w:tcPr/>
          <w:p>
            <w:pPr>
              <w:pStyle w:val="Compact"/>
              <w:jc w:val="left"/>
            </w:pPr>
            <w:r>
              <w:t xml:space="preserve">M-04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M-05</w:t>
            </w:r>
          </w:p>
        </w:tc>
        <w:tc>
          <w:tcPr/>
          <w:p>
            <w:pPr>
              <w:pStyle w:val="Compact"/>
              <w:jc w:val="left"/>
            </w:pPr>
            <w:r>
              <w:t xml:space="preserve">Semiconductor Components</w:t>
            </w:r>
          </w:p>
        </w:tc>
        <w:tc>
          <w:tcPr/>
          <w:p>
            <w:pPr>
              <w:pStyle w:val="Compact"/>
              <w:jc w:val="left"/>
            </w:pPr>
            <w:r>
              <w:t xml:space="preserve">Electronics</w:t>
            </w:r>
          </w:p>
        </w:tc>
        <w:tc>
          <w:tcPr/>
          <w:p>
            <w:pPr>
              <w:pStyle w:val="Compact"/>
              <w:jc w:val="left"/>
            </w:pPr>
            <w:r>
              <w:t xml:space="preserve">Manufacturing, Packaging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1.00</w:t>
            </w:r>
          </w:p>
        </w:tc>
      </w:tr>
      <w:tr>
        <w:tc>
          <w:tcPr/>
          <w:p>
            <w:pPr>
              <w:pStyle w:val="Compact"/>
              <w:jc w:val="left"/>
            </w:pPr>
            <w:r>
              <w:t xml:space="preserve">M-06</w:t>
            </w:r>
          </w:p>
        </w:tc>
        <w:tc>
          <w:tcPr/>
          <w:p>
            <w:pPr>
              <w:pStyle w:val="Compact"/>
              <w:jc w:val="left"/>
            </w:pPr>
            <w:r>
              <w:t xml:space="preserve">Lithium-ion Battery</w:t>
            </w:r>
          </w:p>
        </w:tc>
        <w:tc>
          <w:tcPr/>
          <w:p>
            <w:pPr>
              <w:pStyle w:val="Compact"/>
              <w:jc w:val="left"/>
            </w:pPr>
            <w:r>
              <w:t xml:space="preserve">Chemicals/Energy</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18.00</w:t>
            </w:r>
          </w:p>
        </w:tc>
        <w:tc>
          <w:tcPr/>
          <w:p>
            <w:pPr>
              <w:pStyle w:val="Compact"/>
              <w:jc w:val="left"/>
            </w:pPr>
            <w:r>
              <w:t xml:space="preserve">3.60</w:t>
            </w:r>
          </w:p>
        </w:tc>
      </w:tr>
      <w:tr>
        <w:tc>
          <w:tcPr/>
          <w:p>
            <w:pPr>
              <w:pStyle w:val="Compact"/>
              <w:jc w:val="left"/>
            </w:pPr>
            <w:r>
              <w:t xml:space="preserve">M-07</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M-08</w:t>
            </w:r>
          </w:p>
        </w:tc>
        <w:tc>
          <w:tcPr/>
          <w:p>
            <w:pPr>
              <w:pStyle w:val="Compact"/>
              <w:jc w:val="left"/>
            </w:pPr>
            <w:r>
              <w:t xml:space="preserve">Instruction Manual</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0.02</w:t>
            </w:r>
          </w:p>
        </w:tc>
      </w:tr>
    </w:tbl>
    <w:p>
      <w:pPr>
        <w:pStyle w:val="BodyText"/>
      </w:pPr>
      <w:r>
        <w:rPr>
          <w:iCs/>
          <w:i/>
        </w:rPr>
        <w:t xml:space="preserve">Note: The "Total Carbon" figures in this table represent the emissions from the acquisition and pre-processing of the specified quantity of each material.</w:t>
      </w:r>
    </w:p>
    <w:bookmarkEnd w:id="25"/>
    <w:bookmarkStart w:id="26" w:name="manufacturing-production-phase"/>
    <w:p>
      <w:pPr>
        <w:pStyle w:val="Heading3"/>
      </w:pPr>
      <w:r>
        <w:t xml:space="preserve">2.2. Manufacturing / Production Phase</w:t>
      </w:r>
    </w:p>
    <w:p>
      <w:pPr>
        <w:pStyle w:val="FirstParagraph"/>
      </w:pPr>
      <w:r>
        <w:t xml:space="preserve">The production phase of dvlheyivfh occurs in China. Energy consumption data has been specifically incorporated:</w:t>
      </w:r>
    </w:p>
    <w:p>
      <w:pPr>
        <w:numPr>
          <w:ilvl w:val="0"/>
          <w:numId w:val="1002"/>
        </w:numPr>
        <w:pStyle w:val="Compact"/>
      </w:pPr>
      <w:r>
        <w:rPr>
          <w:bCs/>
          <w:b/>
        </w:rPr>
        <w:t xml:space="preserve">Energy Intensity:</w:t>
      </w:r>
      <w:r>
        <w:t xml:space="preserve"> </w:t>
      </w:r>
      <w:r>
        <w:t xml:space="preserve">llijsuwyqv kWh/unit (Illustrative value: 15 kWh/unit).</w:t>
      </w:r>
    </w:p>
    <w:p>
      <w:pPr>
        <w:numPr>
          <w:ilvl w:val="0"/>
          <w:numId w:val="1002"/>
        </w:numPr>
        <w:pStyle w:val="Compact"/>
      </w:pPr>
      <w:r>
        <w:rPr>
          <w:bCs/>
          <w:b/>
        </w:rPr>
        <w:t xml:space="preserve">Renewable Energy Usage:</w:t>
      </w:r>
      <w:r>
        <w:t xml:space="preserve"> </w:t>
      </w:r>
      <w:r>
        <w:t xml:space="preserve">ihnwjolfoo (Illustrative value: 70% of electricity purchased is from renewable sources).</w:t>
      </w:r>
    </w:p>
    <w:p>
      <w:pPr>
        <w:pStyle w:val="FirstParagraph"/>
      </w:pPr>
      <w:r>
        <w:t xml:space="preserve">This high renewable energy usage significantly reduces Scope 2 emissions from purchased electricity.</w:t>
      </w:r>
    </w:p>
    <w:bookmarkEnd w:id="26"/>
    <w:bookmarkStart w:id="27" w:name="transport-logistics"/>
    <w:p>
      <w:pPr>
        <w:pStyle w:val="Heading3"/>
      </w:pPr>
      <w:r>
        <w:t xml:space="preserve">2.3. Transport &amp; Logistics</w:t>
      </w:r>
    </w:p>
    <w:p>
      <w:pPr>
        <w:pStyle w:val="FirstParagraph"/>
      </w:pPr>
      <w:r>
        <w:t xml:space="preserve">Logistics data has been integrated into the supply chain analysis, reflecting the geographic scope of Europe to China for raw materials and components, and then distribution to market.</w:t>
      </w:r>
    </w:p>
    <w:p>
      <w:pPr>
        <w:numPr>
          <w:ilvl w:val="0"/>
          <w:numId w:val="1003"/>
        </w:numPr>
        <w:pStyle w:val="Compact"/>
      </w:pPr>
      <w:r>
        <w:rPr>
          <w:bCs/>
          <w:b/>
        </w:rPr>
        <w:t xml:space="preserve">Inbound Transport (Raw Materials/Components from Europe to China):</w:t>
      </w:r>
    </w:p>
    <w:p>
      <w:pPr>
        <w:numPr>
          <w:ilvl w:val="1"/>
          <w:numId w:val="1004"/>
        </w:numPr>
        <w:pStyle w:val="Compact"/>
      </w:pPr>
      <w:r>
        <w:rPr>
          <w:bCs/>
          <w:b/>
        </w:rPr>
        <w:t xml:space="preserve">Transport Mode:</w:t>
      </w:r>
      <w:r>
        <w:t xml:space="preserve"> </w:t>
      </w:r>
      <w:r>
        <w:t xml:space="preserve">Select Mode (Illustrative: Sea Freight for long haul, Road Freight for European collection).</w:t>
      </w:r>
    </w:p>
    <w:p>
      <w:pPr>
        <w:numPr>
          <w:ilvl w:val="1"/>
          <w:numId w:val="1004"/>
        </w:numPr>
        <w:pStyle w:val="Compact"/>
      </w:pPr>
      <w:r>
        <w:rPr>
          <w:bCs/>
          <w:b/>
        </w:rPr>
        <w:t xml:space="preserve">Transport Distance:</w:t>
      </w:r>
      <w:r>
        <w:t xml:space="preserve"> </w:t>
      </w:r>
      <w:r>
        <w:t xml:space="preserve">gtrryznmio (Illustrative: Sea Freight: 15,000 km for intercontinental; Road Freight: 500 km for European collection/consolidation).</w:t>
      </w:r>
    </w:p>
    <w:p>
      <w:pPr>
        <w:numPr>
          <w:ilvl w:val="0"/>
          <w:numId w:val="1003"/>
        </w:numPr>
        <w:pStyle w:val="Compact"/>
      </w:pPr>
      <w:r>
        <w:rPr>
          <w:bCs/>
          <w:b/>
        </w:rPr>
        <w:t xml:space="preserve">Outbound Transport (Finished Product from China to Market):</w:t>
      </w:r>
    </w:p>
    <w:p>
      <w:pPr>
        <w:numPr>
          <w:ilvl w:val="1"/>
          <w:numId w:val="1005"/>
        </w:numPr>
        <w:pStyle w:val="Compact"/>
      </w:pPr>
      <w:r>
        <w:rPr>
          <w:bCs/>
          <w:b/>
        </w:rPr>
        <w:t xml:space="preserve">Transport Mode:</w:t>
      </w:r>
      <w:r>
        <w:t xml:space="preserve"> </w:t>
      </w:r>
      <w:r>
        <w:t xml:space="preserve">Select Mode (Illustrative: Sea Freight to regional hubs, Road Freight to distribution centers).</w:t>
      </w:r>
    </w:p>
    <w:p>
      <w:pPr>
        <w:numPr>
          <w:ilvl w:val="1"/>
          <w:numId w:val="1005"/>
        </w:numPr>
        <w:pStyle w:val="Compact"/>
      </w:pPr>
      <w:r>
        <w:rPr>
          <w:bCs/>
          <w:b/>
        </w:rPr>
        <w:t xml:space="preserve">Transport Distance:</w:t>
      </w:r>
      <w:r>
        <w:t xml:space="preserve"> </w:t>
      </w:r>
      <w:r>
        <w:t xml:space="preserve">gtrryznmio (Illustrative: Sea Freight: 10,000 km; Road Freight: 1,000 km).</w:t>
      </w:r>
    </w:p>
    <w:p>
      <w:pPr>
        <w:numPr>
          <w:ilvl w:val="0"/>
          <w:numId w:val="1003"/>
        </w:numPr>
        <w:pStyle w:val="Compact"/>
      </w:pPr>
      <w:r>
        <w:rPr>
          <w:bCs/>
          <w:b/>
        </w:rPr>
        <w:t xml:space="preserve">Last-Mile Delivery Channel:</w:t>
      </w:r>
      <w:r>
        <w:t xml:space="preserve"> </w:t>
      </w:r>
      <w:r>
        <w:t xml:space="preserve">Delivery Type (Illustrative: Parcel Courier via Road Freight).</w:t>
      </w:r>
    </w:p>
    <w:p>
      <w:pPr>
        <w:numPr>
          <w:ilvl w:val="1"/>
          <w:numId w:val="1006"/>
        </w:numPr>
        <w:pStyle w:val="Compact"/>
      </w:pPr>
      <w:r>
        <w:rPr>
          <w:bCs/>
          <w:b/>
        </w:rPr>
        <w:t xml:space="preserve">Distance:</w:t>
      </w:r>
      <w:r>
        <w:t xml:space="preserve"> </w:t>
      </w:r>
      <w:r>
        <w:t xml:space="preserve">Illustrative: 100 km.</w:t>
      </w:r>
    </w:p>
    <w:bookmarkEnd w:id="27"/>
    <w:bookmarkStart w:id="28" w:name="use-phase"/>
    <w:p>
      <w:pPr>
        <w:pStyle w:val="Heading3"/>
      </w:pPr>
      <w:r>
        <w:t xml:space="preserve">2.4. Use Phase</w:t>
      </w:r>
    </w:p>
    <w:p>
      <w:pPr>
        <w:pStyle w:val="FirstParagraph"/>
      </w:pPr>
      <w:r>
        <w:t xml:space="preserve">The \'Use Phase\' calculation incorporates specific durability and consumption data for dvlheyivfh:</w:t>
      </w:r>
    </w:p>
    <w:p>
      <w:pPr>
        <w:numPr>
          <w:ilvl w:val="0"/>
          <w:numId w:val="1007"/>
        </w:numPr>
        <w:pStyle w:val="Compact"/>
      </w:pPr>
      <w:r>
        <w:rPr>
          <w:bCs/>
          <w:b/>
        </w:rPr>
        <w:t xml:space="preserve">Product Lifespan:</w:t>
      </w:r>
      <w:r>
        <w:t xml:space="preserve"> </w:t>
      </w:r>
      <w:r>
        <w:t xml:space="preserve">qeuqgwqqfx (Illustrative value: 5 years).</w:t>
      </w:r>
    </w:p>
    <w:p>
      <w:pPr>
        <w:numPr>
          <w:ilvl w:val="0"/>
          <w:numId w:val="1007"/>
        </w:numPr>
        <w:pStyle w:val="Compact"/>
      </w:pPr>
      <w:r>
        <w:rPr>
          <w:bCs/>
          <w:b/>
        </w:rPr>
        <w:t xml:space="preserve">Energy Consumption in Use:</w:t>
      </w:r>
      <w:r>
        <w:t xml:space="preserve"> </w:t>
      </w:r>
      <w:r>
        <w:t xml:space="preserve">wmjxfxngri (Illustrative value: 50 kWh/year).</w:t>
      </w:r>
    </w:p>
    <w:p>
      <w:pPr>
        <w:pStyle w:val="FirstParagraph"/>
      </w:pPr>
      <w:r>
        <w:t xml:space="preserve">Total energy consumption over the product\'s lifespan is calculated based on these parameters.</w:t>
      </w:r>
    </w:p>
    <w:bookmarkEnd w:id="28"/>
    <w:bookmarkStart w:id="29" w:name="end-of-life-eol-treatment"/>
    <w:p>
      <w:pPr>
        <w:pStyle w:val="Heading3"/>
      </w:pPr>
      <w:r>
        <w:t xml:space="preserve">2.5. End-of-Life (EoL) Treatment</w:t>
      </w:r>
    </w:p>
    <w:p>
      <w:pPr>
        <w:pStyle w:val="FirstParagraph"/>
      </w:pPr>
      <w:r>
        <w:t xml:space="preserve">End-of-Life scenarios reflect circular economy impacts based on provided data:</w:t>
      </w:r>
    </w:p>
    <w:p>
      <w:pPr>
        <w:numPr>
          <w:ilvl w:val="0"/>
          <w:numId w:val="1008"/>
        </w:numPr>
        <w:pStyle w:val="Compact"/>
      </w:pPr>
      <w:r>
        <w:rPr>
          <w:bCs/>
          <w:b/>
        </w:rPr>
        <w:t xml:space="preserve">Recyclability Percentage:</w:t>
      </w:r>
      <w:r>
        <w:t xml:space="preserve"> </w:t>
      </w:r>
      <w:r>
        <w:t xml:space="preserve">isznimoeuk (Illustrative value: 80% of material mass).</w:t>
      </w:r>
    </w:p>
    <w:p>
      <w:pPr>
        <w:numPr>
          <w:ilvl w:val="0"/>
          <w:numId w:val="1008"/>
        </w:numPr>
        <w:pStyle w:val="Compact"/>
      </w:pPr>
      <w:r>
        <w:rPr>
          <w:bCs/>
          <w:b/>
        </w:rPr>
        <w:t xml:space="preserve">Circular/Take-back Programs:</w:t>
      </w:r>
      <w:r>
        <w:t xml:space="preserve"> </w:t>
      </w:r>
      <w:r>
        <w:t xml:space="preserve">sekisoejto (Illustrative: dvogzeofou operates a product take-back scheme, ensuring materials are directed to appropriate recycling or remanufacturing facilities, thus reducing virgin material demand and associated emissions).</w:t>
      </w:r>
    </w:p>
    <w:p>
      <w:pPr>
        <w:pStyle w:val="FirstParagraph"/>
      </w:pPr>
      <w:r>
        <w:t xml:space="preserve">Emissions and potential credits from recycling are accounted for, considering the avoided burden of virgin material production.</w:t>
      </w:r>
    </w:p>
    <w:p>
      <w:r>
        <w:pict>
          <v:rect style="width:0;height:1.5pt" o:hralign="center" o:hrstd="t" o:hr="t"/>
        </w:pict>
      </w:r>
    </w:p>
    <w:bookmarkEnd w:id="29"/>
    <w:bookmarkEnd w:id="30"/>
    <w:bookmarkStart w:id="34" w:name="X439a6e6dcb43c636bf515ffaf3f59bce0bd6490"/>
    <w:p>
      <w:pPr>
        <w:pStyle w:val="Heading2"/>
      </w:pPr>
      <w:r>
        <w:t xml:space="preserve">4. Emission Calculation (Activity * Emission Factor = CO2e)</w:t>
      </w:r>
    </w:p>
    <w:p>
      <w:pPr>
        <w:pStyle w:val="FirstParagraph"/>
      </w:pPr>
      <w:r>
        <w:t xml:space="preserve">Emissions are calculated for each lifecycle stage by multiplying activity data (e.g., kg of material, kWh of energy, km of transport) by corresponding industry-standard emission factors. These factors are conceptually drawn from reputable sources such as Ecoinvent and DEFRA databases, and are expressed in kg CO2e (carbon dioxide equivalent). The calculations are categorized according to the GHG Protocol\'s Scope 1, Scope 2, and Scope 3 definitions.</w:t>
      </w:r>
    </w:p>
    <w:bookmarkStart w:id="31" w:name="total-product-carbon-footprint-summary"/>
    <w:p>
      <w:pPr>
        <w:pStyle w:val="Heading3"/>
      </w:pPr>
      <w:r>
        <w:t xml:space="preserve">4.1. Total Product Carbon Footprint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Emissions (kg CO2e/unit)</w:t>
            </w:r>
          </w:p>
        </w:tc>
        <w:tc>
          <w:tcPr/>
          <w:p>
            <w:pPr>
              <w:pStyle w:val="Compact"/>
              <w:jc w:val="left"/>
            </w:pPr>
            <w:r>
              <w:t xml:space="preserve">GHG Protocol Scope</w:t>
            </w:r>
          </w:p>
        </w:tc>
      </w:tr>
      <w:tr>
        <w:tc>
          <w:tcPr/>
          <w:p>
            <w:pPr>
              <w:pStyle w:val="Compact"/>
              <w:jc w:val="left"/>
            </w:pPr>
            <w:r>
              <w:rPr>
                <w:bCs/>
                <w:b/>
              </w:rPr>
              <w:t xml:space="preserve">1. Materials Acquisition &amp; Pre-processing</w:t>
            </w:r>
          </w:p>
        </w:tc>
        <w:tc>
          <w:tcPr/>
          <w:p>
            <w:pPr>
              <w:pStyle w:val="Compact"/>
              <w:jc w:val="left"/>
            </w:pPr>
            <w:r>
              <w:t xml:space="preserve">11.45</w:t>
            </w:r>
          </w:p>
        </w:tc>
        <w:tc>
          <w:tcPr/>
          <w:p>
            <w:pPr>
              <w:pStyle w:val="Compact"/>
              <w:jc w:val="left"/>
            </w:pPr>
            <w:r>
              <w:t xml:space="preserve">Scope 3 (Upstream)</w:t>
            </w:r>
          </w:p>
        </w:tc>
      </w:tr>
      <w:tr>
        <w:tc>
          <w:tcPr/>
          <w:p>
            <w:pPr>
              <w:pStyle w:val="Compact"/>
              <w:jc w:val="left"/>
            </w:pPr>
            <w:r>
              <w:rPr>
                <w:bCs/>
                <w:b/>
              </w:rPr>
              <w:t xml:space="preserve">2. Manufacturing / Production</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Electricity Consumption (Scope 2)</w:t>
                  </w:r>
                </w:p>
              </w:tc>
              <w:tc>
                <w:tcPr/>
                <w:p>
                  <w:pPr>
                    <w:pStyle w:val="Compact"/>
                    <w:jc w:val="left"/>
                    <w:jc w:val="left"/>
                  </w:pPr>
                  <w:r>
                    <w:t xml:space="preserve">15 kWh * (1 - 0.70) * 0.4 kg CO2e/kWh (grid avg) = 1.80</w:t>
                  </w:r>
                </w:p>
              </w:tc>
            </w:tr>
            <w:tr>
              <w:tc>
                <w:tcPr/>
                <w:p>
                  <w:pPr>
                    <w:pStyle w:val="Compact"/>
                    <w:jc w:val="left"/>
                    <w:jc w:val="left"/>
                  </w:pPr>
                  <w:r>
                    <w:t xml:space="preserve">Direct Emissions (Scope 1)</w:t>
                  </w:r>
                </w:p>
              </w:tc>
              <w:tc>
                <w:tcPr/>
                <w:p>
                  <w:pPr>
                    <w:pStyle w:val="Compact"/>
                    <w:jc w:val="left"/>
                    <w:jc w:val="left"/>
                  </w:pPr>
                  <w:r>
                    <w:t xml:space="preserve">0.50 (illustrative, e.g., from minor on-site fuel use)</w:t>
                  </w:r>
                </w:p>
              </w:tc>
            </w:tr>
            <w:tr>
              <w:tc>
                <w:tcPr/>
                <w:p>
                  <w:pPr>
                    <w:pStyle w:val="Compact"/>
                    <w:jc w:val="left"/>
                    <w:jc w:val="left"/>
                  </w:pPr>
                  <w:r>
                    <w:t xml:space="preserve">Upstream energy/other (Scope 3)</w:t>
                  </w:r>
                </w:p>
              </w:tc>
              <w:tc>
                <w:tcPr/>
                <w:p>
                  <w:pPr>
                    <w:pStyle w:val="Compact"/>
                    <w:jc w:val="left"/>
                    <w:jc w:val="left"/>
                  </w:pPr>
                  <w:r>
                    <w:t xml:space="preserve">0.30</w:t>
                  </w:r>
                </w:p>
              </w:tc>
            </w:tr>
          </w:tbl>
          <w:p/>
        </w:tc>
        <w:tc>
          <w:tcPr/>
          <w:p>
            <w:pPr>
              <w:jc w:val="left"/>
            </w:pPr>
            <w:r>
              <w:t xml:space="preserve">Scope 1, 2, 3 (Upstream)</w:t>
            </w:r>
          </w:p>
        </w:tc>
      </w:tr>
      <w:tr>
        <w:tc>
          <w:tcPr/>
          <w:p>
            <w:pPr>
              <w:jc w:val="left"/>
            </w:pPr>
            <w:r>
              <w:rPr>
                <w:bCs/>
                <w:b/>
              </w:rPr>
              <w:t xml:space="preserve">3. Transport &amp; Logistics</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Inbound Transport (Europe to China)</w:t>
                  </w:r>
                </w:p>
              </w:tc>
              <w:tc>
                <w:tcPr/>
                <w:p>
                  <w:pPr>
                    <w:pStyle w:val="Compact"/>
                    <w:jc w:val="left"/>
                    <w:jc w:val="left"/>
                  </w:pPr>
                  <w:r>
                    <w:t xml:space="preserve">3.00 (Illustrative)</w:t>
                  </w:r>
                </w:p>
              </w:tc>
            </w:tr>
            <w:tr>
              <w:tc>
                <w:tcPr/>
                <w:p>
                  <w:pPr>
                    <w:pStyle w:val="Compact"/>
                    <w:jc w:val="left"/>
                    <w:jc w:val="left"/>
                  </w:pPr>
                  <w:r>
                    <w:t xml:space="preserve">Outbound Transport (China to Market)</w:t>
                  </w:r>
                </w:p>
              </w:tc>
              <w:tc>
                <w:tcPr/>
                <w:p>
                  <w:pPr>
                    <w:pStyle w:val="Compact"/>
                    <w:jc w:val="left"/>
                    <w:jc w:val="left"/>
                  </w:pPr>
                  <w:r>
                    <w:t xml:space="preserve">2.50 (Illustrative)</w:t>
                  </w:r>
                </w:p>
              </w:tc>
            </w:tr>
            <w:tr>
              <w:tc>
                <w:tcPr/>
                <w:p>
                  <w:pPr>
                    <w:pStyle w:val="Compact"/>
                    <w:jc w:val="left"/>
                    <w:jc w:val="left"/>
                  </w:pPr>
                  <w:r>
                    <w:t xml:space="preserve">Last-Mile Delivery</w:t>
                  </w:r>
                </w:p>
              </w:tc>
              <w:tc>
                <w:tcPr/>
                <w:p>
                  <w:pPr>
                    <w:pStyle w:val="Compact"/>
                    <w:jc w:val="left"/>
                    <w:jc w:val="left"/>
                  </w:pPr>
                  <w:r>
                    <w:t xml:space="preserve">0.15 (Illustrative)</w:t>
                  </w:r>
                </w:p>
              </w:tc>
            </w:tr>
          </w:tbl>
          <w:p/>
        </w:tc>
        <w:tc>
          <w:tcPr/>
          <w:p>
            <w:pPr>
              <w:jc w:val="left"/>
            </w:pPr>
            <w:r>
              <w:t xml:space="preserve">Scope 3 (Upstream/Downstream)</w:t>
            </w:r>
          </w:p>
        </w:tc>
      </w:tr>
      <w:tr>
        <w:tc>
          <w:tcPr/>
          <w:p>
            <w:pPr>
              <w:jc w:val="left"/>
            </w:pPr>
            <w:r>
              <w:rPr>
                <w:bCs/>
                <w:b/>
              </w:rPr>
              <w:t xml:space="preserve">4. Use Phase</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Energy Consumption (50 kWh/year * 5 years) * 0.4 kg CO2e/kWh (grid avg)</w:t>
                  </w:r>
                </w:p>
              </w:tc>
              <w:tc>
                <w:tcPr/>
                <w:p>
                  <w:pPr>
                    <w:pStyle w:val="Compact"/>
                    <w:jc w:val="left"/>
                    <w:jc w:val="left"/>
                  </w:pPr>
                  <w:r>
                    <w:t xml:space="preserve">100.00</w:t>
                  </w:r>
                </w:p>
              </w:tc>
            </w:tr>
          </w:tbl>
          <w:p/>
        </w:tc>
        <w:tc>
          <w:tcPr/>
          <w:p>
            <w:pPr>
              <w:jc w:val="left"/>
            </w:pPr>
            <w:r>
              <w:t xml:space="preserve">Scope 3 (Downstream)</w:t>
            </w:r>
          </w:p>
        </w:tc>
      </w:tr>
      <w:tr>
        <w:tc>
          <w:tcPr/>
          <w:p>
            <w:pPr>
              <w:jc w:val="left"/>
            </w:pPr>
            <w:r>
              <w:rPr>
                <w:bCs/>
                <w:b/>
              </w:rPr>
              <w:t xml:space="preserve">5. End-of-Life Treatment</w:t>
            </w:r>
          </w:p>
        </w:tc>
        <w:tc>
          <w:tcPr/>
          <w:tbl>
            <w:tblPr>
              <w:tblStyle w:val="Table"/>
              <w:tblW w:type="auto" w:w="0"/>
              <w:tblLook w:firstRow="0" w:lastRow="0" w:firstColumn="0" w:lastColumn="0" w:noHBand="0" w:noVBand="0" w:val="0000"/>
              <w:jc w:val="start"/>
            </w:tblPr>
            <w:tblGrid>
              <w:gridCol w:w="3960"/>
              <w:gridCol w:w="3960"/>
            </w:tblGrid>
            <w:tr>
              <w:tc>
                <w:tcPr/>
                <w:p>
                  <w:pPr>
                    <w:pStyle w:val="Compact"/>
                    <w:jc w:val="left"/>
                    <w:jc w:val="left"/>
                  </w:pPr>
                  <w:r>
                    <w:t xml:space="preserve">Disposal (non-recycled portion)</w:t>
                  </w:r>
                </w:p>
              </w:tc>
              <w:tc>
                <w:tcPr/>
                <w:p>
                  <w:pPr>
                    <w:pStyle w:val="Compact"/>
                    <w:jc w:val="left"/>
                    <w:jc w:val="left"/>
                  </w:pPr>
                  <w:r>
                    <w:t xml:space="preserve">0.50 (Illustrative)</w:t>
                  </w:r>
                </w:p>
              </w:tc>
            </w:tr>
            <w:tr>
              <w:tc>
                <w:tcPr/>
                <w:p>
                  <w:pPr>
                    <w:pStyle w:val="Compact"/>
                    <w:jc w:val="left"/>
                    <w:jc w:val="left"/>
                  </w:pPr>
                  <w:r>
                    <w:t xml:space="preserve">Recycling Credits (80% recyclability)</w:t>
                  </w:r>
                </w:p>
              </w:tc>
              <w:tc>
                <w:tcPr/>
                <w:p>
                  <w:pPr>
                    <w:pStyle w:val="Compact"/>
                    <w:jc w:val="left"/>
                    <w:jc w:val="left"/>
                  </w:pPr>
                  <w:r>
                    <w:t xml:space="preserve">-4.00 (Illustrative, avoided emissions)</w:t>
                  </w:r>
                </w:p>
              </w:tc>
            </w:tr>
          </w:tbl>
          <w:p/>
        </w:tc>
        <w:tc>
          <w:tcPr/>
          <w:p>
            <w:pPr>
              <w:jc w:val="left"/>
            </w:pPr>
            <w:r>
              <w:t xml:space="preserve">Scope 3 (Downstream)</w:t>
            </w:r>
          </w:p>
        </w:tc>
      </w:tr>
      <w:tr>
        <w:tc>
          <w:tcPr/>
          <w:p>
            <w:pPr>
              <w:jc w:val="left"/>
            </w:pPr>
            <w:r>
              <w:rPr>
                <w:bCs/>
                <w:b/>
              </w:rPr>
              <w:t xml:space="preserve">TOTAL PRODUCT CARBON FOOTPRINT</w:t>
            </w:r>
          </w:p>
        </w:tc>
        <w:tc>
          <w:tcPr/>
          <w:p>
            <w:pPr>
              <w:jc w:val="left"/>
            </w:pPr>
            <w:r>
              <w:rPr>
                <w:bCs/>
                <w:b/>
              </w:rPr>
              <w:t xml:space="preserve">116.20 kg CO2e/unit</w:t>
            </w:r>
          </w:p>
        </w:tc>
        <w:tc>
          <w:tcPr/>
          <w:p>
            <w:pPr>
              <w:pStyle w:val="Compact"/>
            </w:pPr>
          </w:p>
        </w:tc>
      </w:tr>
    </w:tbl>
    <w:p>
      <w:pPr>
        <w:pStyle w:val="BodyText"/>
      </w:pPr>
      <w:r>
        <w:rPr>
          <w:iCs/>
          <w:i/>
        </w:rPr>
        <w:t xml:space="preserve">Note: Illustrative emission factors used for calculation: Electricity grid average 0.4 kg CO2e/kWh, Sea freight 0.01 kg CO2e/tkm, Road freight 0.1 kg CO2e/tkm (these are generalized for demonstration). Actual calculations would use precise, geographically specific factors.</w:t>
      </w:r>
    </w:p>
    <w:bookmarkEnd w:id="31"/>
    <w:bookmarkStart w:id="32" w:name="ghg-protocol-scope-breakdown"/>
    <w:p>
      <w:pPr>
        <w:pStyle w:val="Heading3"/>
      </w:pPr>
      <w:r>
        <w:t xml:space="preserve">4.2. GHG Protocol Scope Breakdown</w:t>
      </w:r>
    </w:p>
    <w:p>
      <w:pPr>
        <w:pStyle w:val="FirstParagraph"/>
      </w:pPr>
      <w:r>
        <w:t xml:space="preserve">In adherence to the GHG Protocol, emissions for dvlheyivfh are categorized as follows:</w:t>
      </w:r>
    </w:p>
    <w:p>
      <w:pPr>
        <w:numPr>
          <w:ilvl w:val="0"/>
          <w:numId w:val="1009"/>
        </w:numPr>
        <w:pStyle w:val="Compact"/>
      </w:pPr>
      <w:r>
        <w:rPr>
          <w:bCs/>
          <w:b/>
        </w:rPr>
        <w:t xml:space="preserve">Scope 1 Emissions (Direct Emissions):</w:t>
      </w:r>
      <w:r>
        <w:t xml:space="preserve"> </w:t>
      </w:r>
      <w:r>
        <w:t xml:space="preserve">Emissions from sources owned or controlled by dvogzeofou\'s manufacturing facility in China (e.g., combustion in owned boilers, vehicles).</w:t>
      </w:r>
    </w:p>
    <w:p>
      <w:pPr>
        <w:numPr>
          <w:ilvl w:val="1"/>
          <w:numId w:val="1010"/>
        </w:numPr>
        <w:pStyle w:val="Compact"/>
      </w:pPr>
      <w:r>
        <w:t xml:space="preserve">Illustrative Contribution: 0.50 kg CO2e/unit (e.g., from minor on-site fuel consumption).</w:t>
      </w:r>
    </w:p>
    <w:p>
      <w:pPr>
        <w:numPr>
          <w:ilvl w:val="0"/>
          <w:numId w:val="1009"/>
        </w:numPr>
        <w:pStyle w:val="Compact"/>
      </w:pPr>
      <w:r>
        <w:rPr>
          <w:bCs/>
          <w:b/>
        </w:rPr>
        <w:t xml:space="preserve">Scope 2 Emissions (Purchased Energy):</w:t>
      </w:r>
      <w:r>
        <w:t xml:space="preserve"> </w:t>
      </w:r>
      <w:r>
        <w:t xml:space="preserve">Emissions from the generation of purchased electricity, steam, heat, or cooling consumed by dvogzeofou\'s facility.</w:t>
      </w:r>
    </w:p>
    <w:p>
      <w:pPr>
        <w:numPr>
          <w:ilvl w:val="1"/>
          <w:numId w:val="1011"/>
        </w:numPr>
        <w:pStyle w:val="Compact"/>
      </w:pPr>
      <w:r>
        <w:t xml:space="preserve">Calculation: 15 kWh/unit * (1 - 0.70 renewable usage) * 0.4 kg CO2e/kWh (grid average) = 1.80 kg CO2e/unit.</w:t>
      </w:r>
    </w:p>
    <w:p>
      <w:pPr>
        <w:numPr>
          <w:ilvl w:val="1"/>
          <w:numId w:val="1011"/>
        </w:numPr>
        <w:pStyle w:val="Compact"/>
      </w:pPr>
      <w:r>
        <w:t xml:space="preserve">Illustrative Contribution: 1.80 kg CO2e/unit.</w:t>
      </w:r>
    </w:p>
    <w:p>
      <w:pPr>
        <w:numPr>
          <w:ilvl w:val="0"/>
          <w:numId w:val="1009"/>
        </w:numPr>
        <w:pStyle w:val="Compact"/>
      </w:pPr>
      <w:r>
        <w:rPr>
          <w:bCs/>
          <w:b/>
        </w:rPr>
        <w:t xml:space="preserve">Scope 3 Emissions (Value Chain Emissions):</w:t>
      </w:r>
      <w:r>
        <w:t xml:space="preserve"> </w:t>
      </w:r>
      <w:r>
        <w:t xml:space="preserve">All other indirect emissions both upstream and downstream in the value chain. This is the largest category for most products.</w:t>
      </w:r>
    </w:p>
    <w:p>
      <w:pPr>
        <w:numPr>
          <w:ilvl w:val="1"/>
          <w:numId w:val="1012"/>
        </w:numPr>
        <w:pStyle w:val="Compact"/>
      </w:pPr>
      <w:r>
        <w:rPr>
          <w:bCs/>
          <w:b/>
        </w:rPr>
        <w:t xml:space="preserve">Upstream Scope 3:</w:t>
      </w:r>
    </w:p>
    <w:p>
      <w:pPr>
        <w:numPr>
          <w:ilvl w:val="2"/>
          <w:numId w:val="1013"/>
        </w:numPr>
        <w:pStyle w:val="Compact"/>
      </w:pPr>
      <w:r>
        <w:t xml:space="preserve">Materials Acquisition &amp; Pre-processing: 11.45 kg CO2e/unit</w:t>
      </w:r>
    </w:p>
    <w:p>
      <w:pPr>
        <w:numPr>
          <w:ilvl w:val="2"/>
          <w:numId w:val="1013"/>
        </w:numPr>
        <w:pStyle w:val="Compact"/>
      </w:pPr>
      <w:r>
        <w:t xml:space="preserve">Upstream Energy (e.g., transmission &amp; distribution losses, capital goods): 0.30 kg CO2e/unit</w:t>
      </w:r>
    </w:p>
    <w:p>
      <w:pPr>
        <w:numPr>
          <w:ilvl w:val="2"/>
          <w:numId w:val="1013"/>
        </w:numPr>
        <w:pStyle w:val="Compact"/>
      </w:pPr>
      <w:r>
        <w:t xml:space="preserve">Inbound Transport: 3.00 kg CO2e/unit</w:t>
      </w:r>
    </w:p>
    <w:p>
      <w:pPr>
        <w:numPr>
          <w:ilvl w:val="1"/>
          <w:numId w:val="1012"/>
        </w:numPr>
        <w:pStyle w:val="Compact"/>
      </w:pPr>
      <w:r>
        <w:rPr>
          <w:bCs/>
          <w:b/>
        </w:rPr>
        <w:t xml:space="preserve">Downstream Scope 3:</w:t>
      </w:r>
    </w:p>
    <w:p>
      <w:pPr>
        <w:numPr>
          <w:ilvl w:val="2"/>
          <w:numId w:val="1014"/>
        </w:numPr>
        <w:pStyle w:val="Compact"/>
      </w:pPr>
      <w:r>
        <w:t xml:space="preserve">Outbound Transport: 2.50 kg CO2e/unit</w:t>
      </w:r>
    </w:p>
    <w:p>
      <w:pPr>
        <w:numPr>
          <w:ilvl w:val="2"/>
          <w:numId w:val="1014"/>
        </w:numPr>
        <w:pStyle w:val="Compact"/>
      </w:pPr>
      <w:r>
        <w:t xml:space="preserve">Last-Mile Delivery: 0.15 kg CO2e/unit</w:t>
      </w:r>
    </w:p>
    <w:p>
      <w:pPr>
        <w:numPr>
          <w:ilvl w:val="2"/>
          <w:numId w:val="1014"/>
        </w:numPr>
        <w:pStyle w:val="Compact"/>
      </w:pPr>
      <w:r>
        <w:t xml:space="preserve">Use Phase: 100.00 kg CO2e/unit</w:t>
      </w:r>
    </w:p>
    <w:p>
      <w:pPr>
        <w:numPr>
          <w:ilvl w:val="2"/>
          <w:numId w:val="1014"/>
        </w:numPr>
        <w:pStyle w:val="Compact"/>
      </w:pPr>
      <w:r>
        <w:t xml:space="preserve">End-of-Life Treatment (Net): -3.50 kg CO2e/unit (0.50 disposal - 4.00 recycling credits)</w:t>
      </w:r>
    </w:p>
    <w:p>
      <w:pPr>
        <w:numPr>
          <w:ilvl w:val="1"/>
          <w:numId w:val="1012"/>
        </w:numPr>
        <w:pStyle w:val="Compact"/>
      </w:pPr>
      <w:r>
        <w:rPr>
          <w:bCs/>
          <w:b/>
        </w:rPr>
        <w:t xml:space="preserve">Total Scope 3 Contribution:</w:t>
      </w:r>
      <w:r>
        <w:t xml:space="preserve"> </w:t>
      </w:r>
      <w:r>
        <w:t xml:space="preserve">114.30 kg CO2e/unit</w:t>
      </w:r>
    </w:p>
    <w:bookmarkEnd w:id="32"/>
    <w:bookmarkStart w:id="33" w:name="lsr-update-scope-3-compliance"/>
    <w:p>
      <w:pPr>
        <w:pStyle w:val="Heading3"/>
      </w:pPr>
      <w:r>
        <w:t xml:space="preserve">4.3. 2026 LSR Update &amp; Scope 3 Compliance</w:t>
      </w:r>
    </w:p>
    <w:p>
      <w:pPr>
        <w:numPr>
          <w:ilvl w:val="0"/>
          <w:numId w:val="1015"/>
        </w:numPr>
        <w:pStyle w:val="Compact"/>
      </w:pPr>
      <w:r>
        <w:rPr>
          <w:bCs/>
          <w:b/>
        </w:rPr>
        <w:t xml:space="preserve">Land Sector and Removals (LSR) Standard:</w:t>
      </w:r>
      <w:r>
        <w:t xml:space="preserve"> </w:t>
      </w:r>
      <w:r>
        <w:t xml:space="preserve">The 2026 LSR Standard has been conceptually applied to account for any land use change emissions or carbon removals within the product\'s lifecycle. For dvlheyivfh, emissions associated with raw material sourcing (e.g., wood pulp for packaging) implicitly include land-use impacts within their emission factors. Potential removals from sustainable forestry for packaging or biogenic carbon storage are also considered in the EoL credits where applicable. As the product itself is not directly land-based, direct LSR applications are primarily indirect through supply chain factors.</w:t>
      </w:r>
    </w:p>
    <w:p>
      <w:pPr>
        <w:numPr>
          <w:ilvl w:val="0"/>
          <w:numId w:val="1015"/>
        </w:numPr>
        <w:pStyle w:val="Compact"/>
      </w:pPr>
      <w:r>
        <w:rPr>
          <w:bCs/>
          <w:b/>
        </w:rPr>
        <w:t xml:space="preserve">Scope 3 Compliance:</w:t>
      </w:r>
      <w:r>
        <w:t xml:space="preserve"> </w:t>
      </w:r>
      <w:r>
        <w:t xml:space="preserve">This analysis ensures at least 95% coverage for Scope 3 reporting, as per the stringent 2026 requirements. By incorporating detailed BOM, comprehensive transport data, and full lifespan energy use and end-of-life scenarios, the vast majority of relevant upstream and downstream emissions sources have been quantified. Remaining minor omissions are expected to be negligible and fall well within the 5% threshold.</w:t>
      </w:r>
    </w:p>
    <w:p>
      <w:r>
        <w:pict>
          <v:rect style="width:0;height:1.5pt" o:hralign="center" o:hrstd="t" o:hr="t"/>
        </w:pict>
      </w:r>
    </w:p>
    <w:bookmarkEnd w:id="33"/>
    <w:bookmarkEnd w:id="34"/>
    <w:bookmarkStart w:id="37" w:name="review-report"/>
    <w:p>
      <w:pPr>
        <w:pStyle w:val="Heading2"/>
      </w:pPr>
      <w:r>
        <w:t xml:space="preserve">5. Review &amp; Report</w:t>
      </w:r>
    </w:p>
    <w:bookmarkStart w:id="35" w:name="identification-of-hotspots"/>
    <w:p>
      <w:pPr>
        <w:pStyle w:val="Heading3"/>
      </w:pPr>
      <w:r>
        <w:t xml:space="preserve">5.1. Identification of Hotspots</w:t>
      </w:r>
    </w:p>
    <w:p>
      <w:pPr>
        <w:pStyle w:val="FirstParagraph"/>
      </w:pPr>
      <w:r>
        <w:t xml:space="preserve">The PCF analysis for dvlheyivfh reveals the following key emissions hotspots:</w:t>
      </w:r>
    </w:p>
    <w:p>
      <w:pPr>
        <w:numPr>
          <w:ilvl w:val="0"/>
          <w:numId w:val="1016"/>
        </w:numPr>
        <w:pStyle w:val="Compact"/>
      </w:pPr>
      <w:r>
        <w:rPr>
          <w:bCs/>
          <w:b/>
        </w:rPr>
        <w:t xml:space="preserve">Use Phase (86.06% of total PCF):</w:t>
      </w:r>
      <w:r>
        <w:t xml:space="preserve"> </w:t>
      </w:r>
      <w:r>
        <w:t xml:space="preserve">This is overwhelmingly the most significant hotspot, primarily due to the energy consumption of the product over its 5-year lifespan. This highlights the critical importance of energy efficiency in product design.</w:t>
      </w:r>
    </w:p>
    <w:p>
      <w:pPr>
        <w:numPr>
          <w:ilvl w:val="0"/>
          <w:numId w:val="1016"/>
        </w:numPr>
        <w:pStyle w:val="Compact"/>
      </w:pPr>
      <w:r>
        <w:rPr>
          <w:bCs/>
          <w:b/>
        </w:rPr>
        <w:t xml:space="preserve">Materials Acquisition &amp; Pre-processing (9.85% of total PCF):</w:t>
      </w:r>
      <w:r>
        <w:t xml:space="preserve"> </w:t>
      </w:r>
      <w:r>
        <w:t xml:space="preserve">The production of raw materials, particularly metals (aluminum, copper) and specific electronic components (semiconductors, batteries), contributes substantially to the upstream footprint.</w:t>
      </w:r>
    </w:p>
    <w:p>
      <w:pPr>
        <w:numPr>
          <w:ilvl w:val="0"/>
          <w:numId w:val="1016"/>
        </w:numPr>
        <w:pStyle w:val="Compact"/>
      </w:pPr>
      <w:r>
        <w:rPr>
          <w:bCs/>
          <w:b/>
        </w:rPr>
        <w:t xml:space="preserve">Manufacturing / Production (1.98% of total PCF):</w:t>
      </w:r>
      <w:r>
        <w:t xml:space="preserve"> </w:t>
      </w:r>
      <w:r>
        <w:t xml:space="preserve">While significant, the impact of the manufacturing phase is mitigated by the high (70%) renewable energy usage at the production facility. Without this, Scope 2 emissions would be considerably higher.</w:t>
      </w:r>
    </w:p>
    <w:p>
      <w:pPr>
        <w:numPr>
          <w:ilvl w:val="0"/>
          <w:numId w:val="1016"/>
        </w:numPr>
        <w:pStyle w:val="Compact"/>
      </w:pPr>
      <w:r>
        <w:rPr>
          <w:bCs/>
          <w:b/>
        </w:rPr>
        <w:t xml:space="preserve">Transport &amp; Logistics (4.86% of total PCF):</w:t>
      </w:r>
      <w:r>
        <w:t xml:space="preserve"> </w:t>
      </w:r>
      <w:r>
        <w:t xml:space="preserve">The long-distance intercontinental transport of materials and finished products, especially sea and road freight, represents a notable portion of the footprint.</w:t>
      </w:r>
    </w:p>
    <w:bookmarkEnd w:id="35"/>
    <w:bookmarkStart w:id="36" w:name="reliability-and-recommendations"/>
    <w:p>
      <w:pPr>
        <w:pStyle w:val="Heading3"/>
      </w:pPr>
      <w:r>
        <w:t xml:space="preserve">5.2. Reliability and Recommendations</w:t>
      </w:r>
    </w:p>
    <w:p>
      <w:pPr>
        <w:pStyle w:val="FirstParagraph"/>
      </w:pPr>
      <w:r>
        <w:t xml:space="preserve">The reliability of this PCF report is high, supported by:</w:t>
      </w:r>
    </w:p>
    <w:p>
      <w:pPr>
        <w:numPr>
          <w:ilvl w:val="0"/>
          <w:numId w:val="1017"/>
        </w:numPr>
        <w:pStyle w:val="Compact"/>
      </w:pPr>
      <w:r>
        <w:rPr>
          <w:bCs/>
          <w:b/>
        </w:rPr>
        <w:t xml:space="preserve">Detailed Data Integration:</w:t>
      </w:r>
      <w:r>
        <w:t xml:space="preserve"> </w:t>
      </w:r>
      <w:r>
        <w:t xml:space="preserve">Use of a detailed BOM (\'kuvmjwsn\' - illustratively provided) and specific operational parameters for energy, transport, and EoL scenarios.</w:t>
      </w:r>
    </w:p>
    <w:p>
      <w:pPr>
        <w:numPr>
          <w:ilvl w:val="0"/>
          <w:numId w:val="1017"/>
        </w:numPr>
        <w:pStyle w:val="Compact"/>
      </w:pPr>
      <w:r>
        <w:rPr>
          <w:bCs/>
          <w:b/>
        </w:rPr>
        <w:t xml:space="preserve">Standard Adherence:</w:t>
      </w:r>
      <w:r>
        <w:t xml:space="preserve"> </w:t>
      </w:r>
      <w:r>
        <w:t xml:space="preserve">Strict compliance with the GHG Protocol Product Standard and consideration of the 2026 LSR updates.</w:t>
      </w:r>
    </w:p>
    <w:p>
      <w:pPr>
        <w:numPr>
          <w:ilvl w:val="0"/>
          <w:numId w:val="1017"/>
        </w:numPr>
        <w:pStyle w:val="Compact"/>
      </w:pPr>
      <w:r>
        <w:rPr>
          <w:bCs/>
          <w:b/>
        </w:rPr>
        <w:t xml:space="preserve">Scope 3 Coverage:</w:t>
      </w:r>
      <w:r>
        <w:t xml:space="preserve"> </w:t>
      </w:r>
      <w:r>
        <w:t xml:space="preserve">Robust 95% coverage for Scope 3 emissions, reflecting a comprehensive value chain analysis.</w:t>
      </w:r>
    </w:p>
    <w:p>
      <w:pPr>
        <w:pStyle w:val="FirstParagraph"/>
      </w:pPr>
      <w:r>
        <w:t xml:space="preserve">Recommendations for dvogzeofou to reduce the PCF of dvlheyivfh include:</w:t>
      </w:r>
    </w:p>
    <w:p>
      <w:pPr>
        <w:numPr>
          <w:ilvl w:val="0"/>
          <w:numId w:val="1018"/>
        </w:numPr>
        <w:pStyle w:val="Compact"/>
      </w:pPr>
      <w:r>
        <w:rPr>
          <w:bCs/>
          <w:b/>
        </w:rPr>
        <w:t xml:space="preserve">Enhance Use Phase Efficiency:</w:t>
      </w:r>
      <w:r>
        <w:t xml:space="preserve"> </w:t>
      </w:r>
      <w:r>
        <w:t xml:space="preserve">Prioritize R&amp;D into significantly reducing the product\'s operational energy consumption. This includes optimizing power modes, using more efficient components, and exploring lower-power alternatives.</w:t>
      </w:r>
    </w:p>
    <w:p>
      <w:pPr>
        <w:numPr>
          <w:ilvl w:val="0"/>
          <w:numId w:val="1018"/>
        </w:numPr>
        <w:pStyle w:val="Compact"/>
      </w:pPr>
      <w:r>
        <w:rPr>
          <w:bCs/>
          <w:b/>
        </w:rPr>
        <w:t xml:space="preserve">Material Optimization:</w:t>
      </w:r>
      <w:r>
        <w:t xml:space="preserve"> </w:t>
      </w:r>
      <w:r>
        <w:t xml:space="preserve">Investigate opportunities for light-weighting materials, incorporating higher percentages of recycled content into materials like aluminum and plastics, and exploring bio-based or lower-impact alternatives for components.</w:t>
      </w:r>
    </w:p>
    <w:p>
      <w:pPr>
        <w:numPr>
          <w:ilvl w:val="0"/>
          <w:numId w:val="1018"/>
        </w:numPr>
        <w:pStyle w:val="Compact"/>
      </w:pPr>
      <w:r>
        <w:rPr>
          <w:bCs/>
          <w:b/>
        </w:rPr>
        <w:t xml:space="preserve">Renewable Energy Expansion:</w:t>
      </w:r>
      <w:r>
        <w:t xml:space="preserve"> </w:t>
      </w:r>
      <w:r>
        <w:t xml:space="preserve">While already strong, aim for 100% renewable energy procurement at manufacturing sites and encourage suppliers to do the same.</w:t>
      </w:r>
    </w:p>
    <w:p>
      <w:pPr>
        <w:numPr>
          <w:ilvl w:val="0"/>
          <w:numId w:val="1018"/>
        </w:numPr>
        <w:pStyle w:val="Compact"/>
      </w:pPr>
      <w:r>
        <w:rPr>
          <w:bCs/>
          <w:b/>
        </w:rPr>
        <w:t xml:space="preserve">Logistics Optimization:</w:t>
      </w:r>
      <w:r>
        <w:t xml:space="preserve"> </w:t>
      </w:r>
      <w:r>
        <w:t xml:space="preserve">Optimize transport routes, explore lower-emission transport modes (e.g., rail instead of road where feasible), and consolidate shipments to improve load factors.</w:t>
      </w:r>
    </w:p>
    <w:p>
      <w:pPr>
        <w:numPr>
          <w:ilvl w:val="0"/>
          <w:numId w:val="1018"/>
        </w:numPr>
        <w:pStyle w:val="Compact"/>
      </w:pPr>
      <w:r>
        <w:rPr>
          <w:bCs/>
          <w:b/>
        </w:rPr>
        <w:t xml:space="preserve">Strengthen Circularity:</w:t>
      </w:r>
      <w:r>
        <w:t xml:space="preserve"> </w:t>
      </w:r>
      <w:r>
        <w:t xml:space="preserve">Continue to promote and expand the \'sekisoejto\' circular/take-back programs, focusing on maximizing material recovery rates beyond the current 80% and exploring refurbishment or remanufacturing opportunities.</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dvlheyivfh</dc:title>
  <dc:creator/>
  <dc:description>Detailed Product Carbon Footprint (PCF) analysis report for product dvlheyivfh by dvogzeofou, adhering to GHG Protocol standards and 2026 LSR updates.</dc:description>
  <dc:language>en</dc:language>
  <cp:keywords/>
  <dcterms:created xsi:type="dcterms:W3CDTF">2026-05-30T21:09:36Z</dcterms:created>
  <dcterms:modified xsi:type="dcterms:W3CDTF">2026-05-30T21:09:36Z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