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duxdqzpvqf</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duxdqzpvqf"/>
    <w:p>
      <w:pPr>
        <w:pStyle w:val="Heading2"/>
      </w:pPr>
      <w:r>
        <w:t xml:space="preserve">Product: duxdqzpvqf</w:t>
      </w:r>
    </w:p>
    <w:p>
      <w:pPr>
        <w:pStyle w:val="FirstParagraph"/>
      </w:pPr>
      <w:r>
        <w:rPr>
          <w:bCs/>
          <w:b/>
        </w:rPr>
        <w:t xml:space="preserve">Company Name:</w:t>
      </w:r>
      <w:r>
        <w:t xml:space="preserve"> </w:t>
      </w:r>
      <w:r>
        <w:t xml:space="preserve">uidxxtuvwl</w:t>
      </w:r>
    </w:p>
    <w:p>
      <w:pPr>
        <w:pStyle w:val="BodyText"/>
      </w:pPr>
      <w:r>
        <w:rPr>
          <w:bCs/>
          <w:b/>
        </w:rPr>
        <w:t xml:space="preserve">Senior Sustainability Consultant:</w:t>
      </w:r>
      <w:r>
        <w:t xml:space="preserve"> </w:t>
      </w:r>
      <w:r>
        <w:t xml:space="preserve">phyhgrkhru</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placeholder values provided for illustration. While every effort has been made to ensure accuracy within these parameters, actual emissions may vary with more granular, primary data.</w:t>
      </w:r>
    </w:p>
    <w:bookmarkEnd w:id="20"/>
    <w:bookmarkEnd w:id="21"/>
    <w:bookmarkStart w:id="39" w:name="Xb3a4b5a60b9766f0a253e48524cc94c923c6214"/>
    <w:p>
      <w:pPr>
        <w:pStyle w:val="Heading1"/>
      </w:pPr>
      <w:r>
        <w:t xml:space="preserve">Product Carbon Footprint Analysis for duxdqzpvqf</w:t>
      </w:r>
    </w:p>
    <w:p>
      <w:pPr>
        <w:pStyle w:val="FirstParagraph"/>
      </w:pPr>
      <w:r>
        <w:rPr>
          <w:bCs/>
          <w:b/>
        </w:rPr>
        <w:t xml:space="preserve">Generated Date:</w:t>
      </w:r>
      <w:r>
        <w:t xml:space="preserve"> </w:t>
      </w:r>
      <w:r>
        <w:t xml:space="preserve">May 26, 2026</w:t>
      </w:r>
    </w:p>
    <w:p>
      <w:pPr>
        <w:pStyle w:val="BodyText"/>
      </w:pPr>
      <w:r>
        <w:rPr>
          <w:bCs/>
          <w:b/>
        </w:rPr>
        <w:t xml:space="preserve">Senior Sustainability Consultant:</w:t>
      </w:r>
      <w:r>
        <w:t xml:space="preserve"> </w:t>
      </w:r>
      <w:r>
        <w:t xml:space="preserve">phyhgrkhru</w:t>
      </w:r>
    </w:p>
    <w:p>
      <w:pPr>
        <w:pStyle w:val="BodyText"/>
      </w:pPr>
      <w:r>
        <w:t xml:space="preserve">This report details a high-detail Product Carbon Footprint (PCF) analysis for the product</w:t>
      </w:r>
      <w:r>
        <w:t xml:space="preserve"> </w:t>
      </w:r>
      <w:r>
        <w:rPr>
          <w:bCs/>
          <w:b/>
        </w:rPr>
        <w:t xml:space="preserve">duxdqzpvqf</w:t>
      </w:r>
      <w:r>
        <w:t xml:space="preserve">, manufactured by</w:t>
      </w:r>
      <w:r>
        <w:t xml:space="preserve"> </w:t>
      </w:r>
      <w:r>
        <w:rPr>
          <w:bCs/>
          <w:b/>
        </w:rPr>
        <w:t xml:space="preserve">uidxxtuvwl</w:t>
      </w:r>
      <w:r>
        <w:t xml:space="preserve">. The analysis adheres to the GHG Protocol standards, providing a comprehensive assessment of greenhouse gas (GHG) emissions across the product\'s entire lifecycle.</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report provides a cradle-to-grave analysis for the product duxdqzpvqf, quantifiying its greenhouse gas emissions per functional unit (1.0 unit). The total estimated PCF for one unit of duxdqzpvqf is</w:t>
      </w:r>
      <w:r>
        <w:t xml:space="preserve"> </w:t>
      </w:r>
      <w:r>
        <w:rPr>
          <w:bCs/>
          <w:b/>
        </w:rPr>
        <w:t xml:space="preserve">39.45 kgCO2e</w:t>
      </w:r>
      <w:r>
        <w:t xml:space="preserve">. The analysis highlights the use phase as the most significant contributor to the overall footprint, primarily due to energy consumption during the product\'s lifespan. Material acquisition and manufacturing also represent substantial impacts, while the end-of-life scenario shows a net benefit due to high recyclability. This report identifies key emission hotspots and provides a foundational understanding for targeted emission reduction strategies for uidxxtuvwl.</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step establishes the boundaries and parameters for the PCF analysis of duxdqzpvqf.</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w:t>
      </w:r>
      <w:r>
        <w:t xml:space="preserve"> </w:t>
      </w:r>
      <w:r>
        <w:t xml:space="preserve">of duxdqzpvqf, representing its primary function and lifespan.</w:t>
      </w:r>
    </w:p>
    <w:p>
      <w:pPr>
        <w:numPr>
          <w:ilvl w:val="0"/>
          <w:numId w:val="1001"/>
        </w:numPr>
        <w:pStyle w:val="Compact"/>
      </w:pPr>
      <w:r>
        <w:rPr>
          <w:bCs/>
          <w:b/>
        </w:rPr>
        <w:t xml:space="preserve">System Boundary:</w:t>
      </w:r>
      <w:r>
        <w:t xml:space="preserve"> </w:t>
      </w:r>
      <w:r>
        <w:t xml:space="preserve">The analysis employs a</w:t>
      </w:r>
      <w:r>
        <w:t xml:space="preserve"> </w:t>
      </w:r>
      <w:r>
        <w:rPr>
          <w:bCs/>
          <w:b/>
        </w:rPr>
        <w:t xml:space="preserve">cradle-to-grave</w:t>
      </w:r>
      <w:r>
        <w:t xml:space="preserve"> </w:t>
      </w:r>
      <w:r>
        <w:t xml:space="preserve">system boundary, encompassing all stages from raw material extraction to end-of-life treatment. While the parameter specified "factory_gate" as a system boundary, the inclusion of downstream lifecycle stages (transport, use, EoL) necessitates a comprehensive cradle-to-grave approach for the full PCF calculation. The factory_gate boundary can be considered the primary data collection point for production-related emissions.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market distribution primarily in Europe, with manufacturing in China).</w:t>
      </w:r>
    </w:p>
    <w:p>
      <w:pPr>
        <w:numPr>
          <w:ilvl w:val="0"/>
          <w:numId w:val="1001"/>
        </w:numPr>
        <w:pStyle w:val="Compact"/>
      </w:pPr>
      <w:r>
        <w:rPr>
          <w:bCs/>
          <w:b/>
        </w:rPr>
        <w:t xml:space="preserve">Accounting Standard:</w:t>
      </w:r>
      <w:r>
        <w:t xml:space="preserve"> </w:t>
      </w:r>
      <w:r>
        <w:t xml:space="preserve">The analysis strictly follows the</w:t>
      </w:r>
      <w:r>
        <w:t xml:space="preserve"> </w:t>
      </w:r>
      <w:r>
        <w:rPr>
          <w:bCs/>
          <w:b/>
        </w:rPr>
        <w:t xml:space="preserve">GHG Protocol Product Standard</w:t>
      </w:r>
      <w:r>
        <w:t xml:space="preserve">, categorizing emissions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Where necessary, emissions are allocated based on mass or economic value, ensuring no double counting and full coverage of emissions relevant to the functional unit.</w:t>
      </w:r>
    </w:p>
    <w:p>
      <w:r>
        <w:pict>
          <v:rect style="width:0;height:1.5pt" o:hralign="center" o:hrstd="t" o:hr="t"/>
        </w:pict>
      </w:r>
    </w:p>
    <w:bookmarkEnd w:id="23"/>
    <w:bookmarkStart w:id="30" w:name="map-lifecycle-3.-collect-data"/>
    <w:p>
      <w:pPr>
        <w:pStyle w:val="Heading2"/>
      </w:pPr>
      <w:r>
        <w:t xml:space="preserve">2. Map Lifecycle &amp; 3. Collect Data</w:t>
      </w:r>
    </w:p>
    <w:p>
      <w:pPr>
        <w:pStyle w:val="FirstParagraph"/>
      </w:pPr>
      <w:r>
        <w:t xml:space="preserve">This section details the lifecycle stages and the primary and secondary data points collected for the analysis. Emphasis is placed on material inputs and energy consumption throughout the product\'s life cycle. For stages where specific data was provided as placeholders, reasonable industry-average emission factors and assumptions have been applied, and these are clearly stated.</w:t>
      </w:r>
    </w:p>
    <w:bookmarkStart w:id="24" w:name="X1198c8af25dd1a2ebffa686809674f976343a37"/>
    <w:p>
      <w:pPr>
        <w:pStyle w:val="Heading3"/>
      </w:pPr>
      <w:r>
        <w:t xml:space="preserve">Material Acquisition &amp; Pre-processing (Scope 3 - Upstream)</w:t>
      </w:r>
    </w:p>
    <w:p>
      <w:pPr>
        <w:pStyle w:val="FirstParagraph"/>
      </w:pPr>
      <w:r>
        <w:t xml:space="preserve">The detailed Bill of Materials (BOM) for duxdqzpvqf provides specific emission data for each component, which has been used for high-accuracy material impact calculation. The "Total Carbon" value for each item in the BOM already reflects its cradle-to-gate emissions, including raw material extraction, processing, and upstream transport to the factory gate. The aggregate weight of the product based on the BOM is 1.15 kg.</w:t>
      </w:r>
    </w:p>
    <w:p>
      <w:pPr>
        <w:pStyle w:val="BodyText"/>
      </w:pPr>
      <w:r>
        <w:rPr>
          <w:bCs/>
          <w:b/>
        </w:rPr>
        <w:t xml:space="preserve">Detailed Bill of Materials (BOM) - ofodtoho:</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(kgCO2e/kg or 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rPr>
          <w:bCs/>
          <w:b/>
        </w:rPr>
        <w:t xml:space="preserve">Total Material Carbon Impact:</w:t>
      </w:r>
      <w:r>
        <w:t xml:space="preserve"> </w:t>
      </w:r>
      <w:r>
        <w:t xml:space="preserve">6.50 kgCO2e</w:t>
      </w:r>
    </w:p>
    <w:bookmarkEnd w:id="24"/>
    <w:bookmarkStart w:id="25" w:name="manufacturing-scope-1-2"/>
    <w:p>
      <w:pPr>
        <w:pStyle w:val="Heading3"/>
      </w:pPr>
      <w:r>
        <w:t xml:space="preserve">Manufacturing (Scope 1 &amp; 2)</w:t>
      </w:r>
    </w:p>
    <w:p>
      <w:pPr>
        <w:pStyle w:val="FirstParagraph"/>
      </w:pPr>
      <w:r>
        <w:t xml:space="preserve">The production phase for duxdqzpvqf takes place in China. Direct emissions (Scope 1) from on-site fuel combustion are assumed to be negligible or covered by the electricity consumption figures if the plant relies heavily on purchased electricity. Purchased electricity (Scope 2) is a significant factor.</w:t>
      </w:r>
    </w:p>
    <w:p>
      <w:pPr>
        <w:numPr>
          <w:ilvl w:val="0"/>
          <w:numId w:val="1003"/>
        </w:numPr>
        <w:pStyle w:val="Compact"/>
      </w:pPr>
      <w:r>
        <w:rPr>
          <w:bCs/>
          <w:b/>
        </w:rPr>
        <w:t xml:space="preserve">Energy Intensity (kWh/unit):</w:t>
      </w:r>
      <w:r>
        <w:t xml:space="preserve"> </w:t>
      </w:r>
      <w:r>
        <w:t xml:space="preserve">rqzdinrquo (assumed 10 kWh/unit for calculations).</w:t>
      </w:r>
    </w:p>
    <w:p>
      <w:pPr>
        <w:numPr>
          <w:ilvl w:val="0"/>
          <w:numId w:val="1003"/>
        </w:numPr>
        <w:pStyle w:val="Compact"/>
      </w:pPr>
      <w:r>
        <w:rPr>
          <w:bCs/>
          <w:b/>
        </w:rPr>
        <w:t xml:space="preserve">Renewable Energy Usage:</w:t>
      </w:r>
      <w:r>
        <w:t xml:space="preserve"> </w:t>
      </w:r>
      <w:r>
        <w:t xml:space="preserve">kwkytnortp (assumed 50% for calculations). This percentage reduces the reliance on grid electricity, thus lowering Scope 2 emissions.</w:t>
      </w:r>
    </w:p>
    <w:p>
      <w:pPr>
        <w:numPr>
          <w:ilvl w:val="0"/>
          <w:numId w:val="1003"/>
        </w:numPr>
        <w:pStyle w:val="Compact"/>
      </w:pPr>
      <w:r>
        <w:rPr>
          <w:bCs/>
          <w:b/>
        </w:rPr>
        <w:t xml:space="preserve">Assumption:</w:t>
      </w:r>
      <w:r>
        <w:t xml:space="preserve"> </w:t>
      </w:r>
      <w:r>
        <w:t xml:space="preserve">China grid electricity emission factor of 0.6 kgCO2e/kWh is used for the non-renewable portion of purchased electricity.</w:t>
      </w:r>
    </w:p>
    <w:bookmarkEnd w:id="25"/>
    <w:bookmarkStart w:id="26" w:name="X71c2dcd675df23fc104d48ef6b7ab710cc88cf8"/>
    <w:p>
      <w:pPr>
        <w:pStyle w:val="Heading3"/>
      </w:pPr>
      <w:r>
        <w:t xml:space="preserve">Transport &amp; Distribution (Scope 3 - Downstream)</w:t>
      </w:r>
    </w:p>
    <w:p>
      <w:pPr>
        <w:pStyle w:val="FirstParagraph"/>
      </w:pPr>
      <w:r>
        <w:t xml:space="preserve">This section covers the transportation of the finished product from the factory gate to the customer. Due to the placeholder nature of "Select Mode" and "Delivery Type", industry-average assumptions have been made for the modes and distances.</w:t>
      </w:r>
    </w:p>
    <w:p>
      <w:pPr>
        <w:numPr>
          <w:ilvl w:val="0"/>
          <w:numId w:val="1004"/>
        </w:numPr>
        <w:pStyle w:val="Compact"/>
      </w:pPr>
      <w:r>
        <w:rPr>
          <w:bCs/>
          <w:b/>
        </w:rPr>
        <w:t xml:space="preserve">Product Weight:</w:t>
      </w:r>
      <w:r>
        <w:t xml:space="preserve"> </w:t>
      </w:r>
      <w:r>
        <w:t xml:space="preserve">1.15 kg (total weight from BOM).</w:t>
      </w:r>
    </w:p>
    <w:p>
      <w:pPr>
        <w:numPr>
          <w:ilvl w:val="0"/>
          <w:numId w:val="1004"/>
        </w:numPr>
        <w:pStyle w:val="Compact"/>
      </w:pPr>
      <w:r>
        <w:rPr>
          <w:bCs/>
          <w:b/>
        </w:rPr>
        <w:t xml:space="preserve">Primary Transport (Factory to Major Distribution Hub in Europe):</w:t>
      </w:r>
    </w:p>
    <w:p>
      <w:pPr>
        <w:numPr>
          <w:ilvl w:val="1"/>
          <w:numId w:val="1005"/>
        </w:numPr>
        <w:pStyle w:val="Compact"/>
      </w:pPr>
      <w:r>
        <w:rPr>
          <w:bCs/>
          <w:b/>
        </w:rPr>
        <w:t xml:space="preserve">Transport Mode:</w:t>
      </w:r>
      <w:r>
        <w:t xml:space="preserve"> </w:t>
      </w:r>
      <w:r>
        <w:t xml:space="preserve">"Select Mode" is assumed to be a combination of container ship and road freight, reflecting the China-to-Europe route.</w:t>
      </w:r>
    </w:p>
    <w:p>
      <w:pPr>
        <w:numPr>
          <w:ilvl w:val="1"/>
          <w:numId w:val="1005"/>
        </w:numPr>
        <w:pStyle w:val="Compact"/>
      </w:pPr>
      <w:r>
        <w:rPr>
          <w:bCs/>
          <w:b/>
        </w:rPr>
        <w:t xml:space="preserve">Transport Distance:</w:t>
      </w:r>
      <w:r>
        <w:t xml:space="preserve"> </w:t>
      </w:r>
      <w:r>
        <w:t xml:space="preserve">xffpvjmrzn (assumed 10,000 km for international freight).</w:t>
      </w:r>
    </w:p>
    <w:p>
      <w:pPr>
        <w:numPr>
          <w:ilvl w:val="1"/>
          <w:numId w:val="1005"/>
        </w:numPr>
        <w:pStyle w:val="Compact"/>
      </w:pPr>
      <w:r>
        <w:rPr>
          <w:bCs/>
          <w:b/>
        </w:rPr>
        <w:t xml:space="preserve">Assumption:</w:t>
      </w:r>
      <w:r>
        <w:t xml:space="preserve"> </w:t>
      </w:r>
      <w:r>
        <w:t xml:space="preserve">Combined average emission factor of 0.00002 kgCO2e/kgkm.</w:t>
      </w:r>
    </w:p>
    <w:p>
      <w:pPr>
        <w:numPr>
          <w:ilvl w:val="0"/>
          <w:numId w:val="1004"/>
        </w:numPr>
        <w:pStyle w:val="Compact"/>
      </w:pPr>
      <w:r>
        <w:rPr>
          <w:bCs/>
          <w:b/>
        </w:rPr>
        <w:t xml:space="preserve">Last-Mile Delivery:</w:t>
      </w:r>
    </w:p>
    <w:p>
      <w:pPr>
        <w:numPr>
          <w:ilvl w:val="1"/>
          <w:numId w:val="1006"/>
        </w:numPr>
        <w:pStyle w:val="Compact"/>
      </w:pPr>
      <w:r>
        <w:rPr>
          <w:bCs/>
          <w:b/>
        </w:rPr>
        <w:t xml:space="preserve">Last-Mile Delivery Channel:</w:t>
      </w:r>
      <w:r>
        <w:t xml:space="preserve"> </w:t>
      </w:r>
      <w:r>
        <w:t xml:space="preserve">"Delivery Type" is assumed to be Parcel Service.</w:t>
      </w:r>
    </w:p>
    <w:p>
      <w:pPr>
        <w:numPr>
          <w:ilvl w:val="1"/>
          <w:numId w:val="1006"/>
        </w:numPr>
        <w:pStyle w:val="Compact"/>
      </w:pPr>
      <w:r>
        <w:rPr>
          <w:bCs/>
          <w:b/>
        </w:rPr>
        <w:t xml:space="preserve">Assumption:</w:t>
      </w:r>
      <w:r>
        <w:t xml:space="preserve"> </w:t>
      </w:r>
      <w:r>
        <w:t xml:space="preserve">Last-mile distance of 50 km.</w:t>
      </w:r>
    </w:p>
    <w:p>
      <w:pPr>
        <w:numPr>
          <w:ilvl w:val="1"/>
          <w:numId w:val="1006"/>
        </w:numPr>
        <w:pStyle w:val="Compact"/>
      </w:pPr>
      <w:r>
        <w:rPr>
          <w:bCs/>
          <w:b/>
        </w:rPr>
        <w:t xml:space="preserve">Assumption:</w:t>
      </w:r>
      <w:r>
        <w:t xml:space="preserve"> </w:t>
      </w:r>
      <w:r>
        <w:t xml:space="preserve">Parcel service emission factor of 0.00015 kgCO2e/kgkm.</w:t>
      </w:r>
    </w:p>
    <w:bookmarkEnd w:id="26"/>
    <w:bookmarkStart w:id="27" w:name="use-phase-scope-3---downstream"/>
    <w:p>
      <w:pPr>
        <w:pStyle w:val="Heading3"/>
      </w:pPr>
      <w:r>
        <w:t xml:space="preserve">Use Phase (Scope 3 - Downstream)</w:t>
      </w:r>
    </w:p>
    <w:p>
      <w:pPr>
        <w:pStyle w:val="FirstParagraph"/>
      </w:pPr>
      <w:r>
        <w:t xml:space="preserve">The emissions during the product\'s active use are significant, especially for energy-consuming products.</w:t>
      </w:r>
    </w:p>
    <w:p>
      <w:pPr>
        <w:numPr>
          <w:ilvl w:val="0"/>
          <w:numId w:val="1007"/>
        </w:numPr>
        <w:pStyle w:val="Compact"/>
      </w:pPr>
      <w:r>
        <w:rPr>
          <w:bCs/>
          <w:b/>
        </w:rPr>
        <w:t xml:space="preserve">Product Lifespan:</w:t>
      </w:r>
      <w:r>
        <w:t xml:space="preserve"> </w:t>
      </w:r>
      <w:r>
        <w:t xml:space="preserve">zihjqgvgok (assumed 5 years for calculations).</w:t>
      </w:r>
    </w:p>
    <w:p>
      <w:pPr>
        <w:numPr>
          <w:ilvl w:val="0"/>
          <w:numId w:val="1007"/>
        </w:numPr>
        <w:pStyle w:val="Compact"/>
      </w:pPr>
      <w:r>
        <w:rPr>
          <w:bCs/>
          <w:b/>
        </w:rPr>
        <w:t xml:space="preserve">Energy Consumption in Use:</w:t>
      </w:r>
      <w:r>
        <w:t xml:space="preserve"> </w:t>
      </w:r>
      <w:r>
        <w:t xml:space="preserve">gzxspeeunu (assumed 20 kWh/year for calculations).</w:t>
      </w:r>
    </w:p>
    <w:p>
      <w:pPr>
        <w:numPr>
          <w:ilvl w:val="0"/>
          <w:numId w:val="1007"/>
        </w:numPr>
        <w:pStyle w:val="Compact"/>
      </w:pPr>
      <w:r>
        <w:rPr>
          <w:bCs/>
          <w:b/>
        </w:rPr>
        <w:t xml:space="preserve">Assumption:</w:t>
      </w:r>
      <w:r>
        <w:t xml:space="preserve"> </w:t>
      </w:r>
      <w:r>
        <w:t xml:space="preserve">Average European electricity grid emission factor of 0.3 kgCO2e/kWh is used, aligning with the "Europe Focused" supply chain for consumption.</w:t>
      </w:r>
    </w:p>
    <w:bookmarkEnd w:id="27"/>
    <w:bookmarkStart w:id="28" w:name="end-of-life-eol-scope-3---downstream"/>
    <w:p>
      <w:pPr>
        <w:pStyle w:val="Heading3"/>
      </w:pPr>
      <w:r>
        <w:t xml:space="preserve">End-of-Life (EoL) (Scope 3 - Downstream)</w:t>
      </w:r>
    </w:p>
    <w:p>
      <w:pPr>
        <w:pStyle w:val="FirstParagraph"/>
      </w:pPr>
      <w:r>
        <w:t xml:space="preserve">The end-of-life stage considers disposal, recycling, and the impact of circular economy initiatives.</w:t>
      </w:r>
    </w:p>
    <w:p>
      <w:pPr>
        <w:numPr>
          <w:ilvl w:val="0"/>
          <w:numId w:val="1008"/>
        </w:numPr>
        <w:pStyle w:val="Compact"/>
      </w:pPr>
      <w:r>
        <w:rPr>
          <w:bCs/>
          <w:b/>
        </w:rPr>
        <w:t xml:space="preserve">Recyclability Percentage:</w:t>
      </w:r>
      <w:r>
        <w:t xml:space="preserve"> </w:t>
      </w:r>
      <w:r>
        <w:t xml:space="preserve">gppeyfqyyi (assumed 70% for calculations).</w:t>
      </w:r>
    </w:p>
    <w:p>
      <w:pPr>
        <w:numPr>
          <w:ilvl w:val="0"/>
          <w:numId w:val="1008"/>
        </w:numPr>
        <w:pStyle w:val="Compact"/>
      </w:pPr>
      <w:r>
        <w:rPr>
          <w:bCs/>
          <w:b/>
        </w:rPr>
        <w:t xml:space="preserve">Circular/Take-back Programs:</w:t>
      </w:r>
      <w:r>
        <w:t xml:space="preserve"> </w:t>
      </w:r>
      <w:r>
        <w:t xml:space="preserve">ueldlvqhzd (mentioned as "Yes, Product A_Recycle_Program"). The presence of such programs supports achieving the stated recyclability.</w:t>
      </w:r>
    </w:p>
    <w:p>
      <w:pPr>
        <w:numPr>
          <w:ilvl w:val="0"/>
          <w:numId w:val="1008"/>
        </w:numPr>
        <w:pStyle w:val="Compact"/>
      </w:pPr>
      <w:r>
        <w:rPr>
          <w:bCs/>
          <w:b/>
        </w:rPr>
        <w:t xml:space="preserve">Assumption:</w:t>
      </w:r>
      <w:r>
        <w:t xml:space="preserve"> </w:t>
      </w:r>
      <w:r>
        <w:t xml:space="preserve">Disposal (landfill/incineration) emission factor of 1.5 kgCO2e/kg for the non-recycled portion.</w:t>
      </w:r>
    </w:p>
    <w:p>
      <w:pPr>
        <w:numPr>
          <w:ilvl w:val="0"/>
          <w:numId w:val="1008"/>
        </w:numPr>
        <w:pStyle w:val="Compact"/>
      </w:pPr>
      <w:r>
        <w:rPr>
          <w:bCs/>
          <w:b/>
        </w:rPr>
        <w:t xml:space="preserve">Assumption:</w:t>
      </w:r>
      <w:r>
        <w:t xml:space="preserve"> </w:t>
      </w:r>
      <w:r>
        <w:t xml:space="preserve">Recycling benefit/avoided emission factor of -1.0 kgCO2e/kg for the recycled portion, representing avoided virgin material production.</w:t>
      </w:r>
    </w:p>
    <w:bookmarkEnd w:id="28"/>
    <w:bookmarkStart w:id="29" w:name="emission-factors"/>
    <w:p>
      <w:pPr>
        <w:pStyle w:val="Heading3"/>
      </w:pPr>
      <w:r>
        <w:t xml:space="preserve">Emission Factors</w:t>
      </w:r>
    </w:p>
    <w:p>
      <w:pPr>
        <w:pStyle w:val="FirstParagraph"/>
      </w:pPr>
      <w:r>
        <w:t xml:space="preserve">Where not explicitly provided in the BOM, industry-standard emission factors from reputable databases (e.g., Ecoinvent, DEFRA, IEA) are applied based on the material, process, and geographic context. Specific factors used for calculations in this report are detailed in the respective sections and are based on current averages or assumed values due to placeholder data.</w:t>
      </w:r>
    </w:p>
    <w:p>
      <w:r>
        <w:pict>
          <v:rect style="width:0;height:1.5pt" o:hralign="center" o:hrstd="t" o:hr="t"/>
        </w:pict>
      </w:r>
    </w:p>
    <w:bookmarkEnd w:id="29"/>
    <w:bookmarkEnd w:id="30"/>
    <w:bookmarkStart w:id="34" w:name="calculate-emissions"/>
    <w:p>
      <w:pPr>
        <w:pStyle w:val="Heading2"/>
      </w:pPr>
      <w:r>
        <w:t xml:space="preserve">4. Calculate Emissions</w:t>
      </w:r>
    </w:p>
    <w:p>
      <w:pPr>
        <w:pStyle w:val="FirstParagraph"/>
      </w:pPr>
      <w:r>
        <w:t xml:space="preserve">Emissions are calculated for each lifecycle stage (Activity Data × Emission Factor = CO2e) and categorized according to the GHG Protocol (Scope 1, 2, 3). The 2026 Land Sector and Removals (LSR) Standard is acknowledged; however, no specific land-use change or carbon removal data was identified or quantified from the provided parameters.</w:t>
      </w:r>
    </w:p>
    <w:bookmarkStart w:id="31" w:name="emissions-breakdown-by-lifecycle-stage"/>
    <w:p>
      <w:pPr>
        <w:pStyle w:val="Heading3"/>
      </w:pPr>
      <w:r>
        <w:t xml:space="preserve">Emissions Breakdown by Lifecycle Stage:</w:t>
      </w:r>
    </w:p>
    <w:p>
      <w:pPr>
        <w:numPr>
          <w:ilvl w:val="0"/>
          <w:numId w:val="1009"/>
        </w:numPr>
        <w:pStyle w:val="Compact"/>
      </w:pPr>
      <w:r>
        <w:rPr>
          <w:bCs/>
          <w:b/>
        </w:rPr>
        <w:t xml:space="preserve">Material Acquisition &amp; Pre-processing (Scope 3 - Upstream):</w:t>
      </w:r>
    </w:p>
    <w:p>
      <w:pPr>
        <w:numPr>
          <w:ilvl w:val="1"/>
          <w:numId w:val="1010"/>
        </w:numPr>
        <w:pStyle w:val="Compact"/>
      </w:pPr>
      <w:r>
        <w:t xml:space="preserve">Total Carbon from BOM: 6.50 kgCO2e</w:t>
      </w:r>
    </w:p>
    <w:p>
      <w:pPr>
        <w:numPr>
          <w:ilvl w:val="0"/>
          <w:numId w:val="1009"/>
        </w:numPr>
        <w:pStyle w:val="Compact"/>
      </w:pPr>
      <w:r>
        <w:rPr>
          <w:bCs/>
          <w:b/>
        </w:rPr>
        <w:t xml:space="preserve">Manufacturing (Scope 2 - Purchased Electricity):</w:t>
      </w:r>
    </w:p>
    <w:p>
      <w:pPr>
        <w:numPr>
          <w:ilvl w:val="1"/>
          <w:numId w:val="1011"/>
        </w:numPr>
        <w:pStyle w:val="Compact"/>
      </w:pPr>
      <w:r>
        <w:t xml:space="preserve">Energy Intensity: 10 kWh/unit</w:t>
      </w:r>
    </w:p>
    <w:p>
      <w:pPr>
        <w:numPr>
          <w:ilvl w:val="1"/>
          <w:numId w:val="1011"/>
        </w:numPr>
        <w:pStyle w:val="Compact"/>
      </w:pPr>
      <w:r>
        <w:t xml:space="preserve">Non-renewable energy: 10 kWh * (1 - 50%) = 5 kWh</w:t>
      </w:r>
    </w:p>
    <w:p>
      <w:pPr>
        <w:numPr>
          <w:ilvl w:val="1"/>
          <w:numId w:val="1011"/>
        </w:numPr>
        <w:pStyle w:val="Compact"/>
      </w:pPr>
      <w:r>
        <w:t xml:space="preserve">China Grid EF: 0.6 kgCO2e/kWh</w:t>
      </w:r>
    </w:p>
    <w:p>
      <w:pPr>
        <w:numPr>
          <w:ilvl w:val="1"/>
          <w:numId w:val="1011"/>
        </w:numPr>
        <w:pStyle w:val="Compact"/>
      </w:pPr>
      <w:r>
        <w:rPr>
          <w:bCs/>
          <w:b/>
        </w:rPr>
        <w:t xml:space="preserve">Manufacturing Emissions:</w:t>
      </w:r>
      <w:r>
        <w:t xml:space="preserve"> </w:t>
      </w:r>
      <w:r>
        <w:t xml:space="preserve">5 kWh * 0.6 kgCO2e/kWh = 3.00 kgCO2e</w:t>
      </w:r>
    </w:p>
    <w:p>
      <w:pPr>
        <w:numPr>
          <w:ilvl w:val="0"/>
          <w:numId w:val="1009"/>
        </w:numPr>
        <w:pStyle w:val="Compact"/>
      </w:pPr>
      <w:r>
        <w:rPr>
          <w:bCs/>
          <w:b/>
        </w:rPr>
        <w:t xml:space="preserve">Transport &amp; Distribution (Scope 3 - Downstream):</w:t>
      </w:r>
    </w:p>
    <w:p>
      <w:pPr>
        <w:numPr>
          <w:ilvl w:val="1"/>
          <w:numId w:val="1012"/>
        </w:numPr>
        <w:pStyle w:val="Compact"/>
      </w:pPr>
      <w:r>
        <w:t xml:space="preserve">Primary Transport (China to Europe): 1.15 kg * 10,000 km * 0.00002 kgCO2e/kgkm = 0.23 kgCO2e</w:t>
      </w:r>
    </w:p>
    <w:p>
      <w:pPr>
        <w:numPr>
          <w:ilvl w:val="1"/>
          <w:numId w:val="1012"/>
        </w:numPr>
        <w:pStyle w:val="Compact"/>
      </w:pPr>
      <w:r>
        <w:t xml:space="preserve">Last-Mile Delivery: 1.15 kg * 50 km * 0.00015 kgCO2e/kgkm = 0.0086 kgCO2e</w:t>
      </w:r>
    </w:p>
    <w:p>
      <w:pPr>
        <w:numPr>
          <w:ilvl w:val="1"/>
          <w:numId w:val="1012"/>
        </w:numPr>
        <w:pStyle w:val="Compact"/>
      </w:pPr>
      <w:r>
        <w:rPr>
          <w:bCs/>
          <w:b/>
        </w:rPr>
        <w:t xml:space="preserve">Total Transport Emissions:</w:t>
      </w:r>
      <w:r>
        <w:t xml:space="preserve"> </w:t>
      </w:r>
      <w:r>
        <w:t xml:space="preserve">0.2386 kgCO2e</w:t>
      </w:r>
    </w:p>
    <w:p>
      <w:pPr>
        <w:numPr>
          <w:ilvl w:val="0"/>
          <w:numId w:val="1009"/>
        </w:numPr>
        <w:pStyle w:val="Compact"/>
      </w:pPr>
      <w:r>
        <w:rPr>
          <w:bCs/>
          <w:b/>
        </w:rPr>
        <w:t xml:space="preserve">Use Phase (Scope 3 - Downstream):</w:t>
      </w:r>
    </w:p>
    <w:p>
      <w:pPr>
        <w:numPr>
          <w:ilvl w:val="1"/>
          <w:numId w:val="1013"/>
        </w:numPr>
        <w:pStyle w:val="Compact"/>
      </w:pPr>
      <w:r>
        <w:t xml:space="preserve">Lifespan: 5 years</w:t>
      </w:r>
    </w:p>
    <w:p>
      <w:pPr>
        <w:numPr>
          <w:ilvl w:val="1"/>
          <w:numId w:val="1013"/>
        </w:numPr>
        <w:pStyle w:val="Compact"/>
      </w:pPr>
      <w:r>
        <w:t xml:space="preserve">Energy Consumption in Use: 20 kWh/year</w:t>
      </w:r>
    </w:p>
    <w:p>
      <w:pPr>
        <w:numPr>
          <w:ilvl w:val="1"/>
          <w:numId w:val="1013"/>
        </w:numPr>
        <w:pStyle w:val="Compact"/>
      </w:pPr>
      <w:r>
        <w:t xml:space="preserve">European Grid EF: 0.3 kgCO2e/kWh</w:t>
      </w:r>
    </w:p>
    <w:p>
      <w:pPr>
        <w:numPr>
          <w:ilvl w:val="1"/>
          <w:numId w:val="1013"/>
        </w:numPr>
        <w:pStyle w:val="Compact"/>
      </w:pPr>
      <w:r>
        <w:rPr>
          <w:bCs/>
          <w:b/>
        </w:rPr>
        <w:t xml:space="preserve">Use Phase Emissions:</w:t>
      </w:r>
      <w:r>
        <w:t xml:space="preserve"> </w:t>
      </w:r>
      <w:r>
        <w:t xml:space="preserve">20 kWh/year * 5 years * 0.3 kgCO2e/kWh = 30.00 kgCO2e</w:t>
      </w:r>
    </w:p>
    <w:p>
      <w:pPr>
        <w:numPr>
          <w:ilvl w:val="0"/>
          <w:numId w:val="1009"/>
        </w:numPr>
        <w:pStyle w:val="Compact"/>
      </w:pPr>
      <w:r>
        <w:rPr>
          <w:bCs/>
          <w:b/>
        </w:rPr>
        <w:t xml:space="preserve">End-of-Life (Scope 3 - Downstream):</w:t>
      </w:r>
    </w:p>
    <w:p>
      <w:pPr>
        <w:numPr>
          <w:ilvl w:val="1"/>
          <w:numId w:val="1014"/>
        </w:numPr>
        <w:pStyle w:val="Compact"/>
      </w:pPr>
      <w:r>
        <w:t xml:space="preserve">Product Weight: 1.15 kg</w:t>
      </w:r>
    </w:p>
    <w:p>
      <w:pPr>
        <w:numPr>
          <w:ilvl w:val="1"/>
          <w:numId w:val="1014"/>
        </w:numPr>
        <w:pStyle w:val="Compact"/>
      </w:pPr>
      <w:r>
        <w:t xml:space="preserve">Disposed portion: 1.15 kg * (1 - 70%) = 0.345 kg</w:t>
      </w:r>
    </w:p>
    <w:p>
      <w:pPr>
        <w:numPr>
          <w:ilvl w:val="1"/>
          <w:numId w:val="1014"/>
        </w:numPr>
        <w:pStyle w:val="Compact"/>
      </w:pPr>
      <w:r>
        <w:t xml:space="preserve">Disposal Emissions: 0.345 kg * 1.5 kgCO2e/kg = 0.5175 kgCO2e</w:t>
      </w:r>
    </w:p>
    <w:p>
      <w:pPr>
        <w:numPr>
          <w:ilvl w:val="1"/>
          <w:numId w:val="1014"/>
        </w:numPr>
        <w:pStyle w:val="Compact"/>
      </w:pPr>
      <w:r>
        <w:t xml:space="preserve">Recycled portion: 1.15 kg * 70% = 0.805 kg</w:t>
      </w:r>
    </w:p>
    <w:p>
      <w:pPr>
        <w:numPr>
          <w:ilvl w:val="1"/>
          <w:numId w:val="1014"/>
        </w:numPr>
        <w:pStyle w:val="Compact"/>
      </w:pPr>
      <w:r>
        <w:t xml:space="preserve">Recycling Benefit: 0.805 kg * (-1.0 kgCO2e/kg) = -0.805 kgCO2e</w:t>
      </w:r>
    </w:p>
    <w:p>
      <w:pPr>
        <w:numPr>
          <w:ilvl w:val="1"/>
          <w:numId w:val="1014"/>
        </w:numPr>
        <w:pStyle w:val="Compact"/>
      </w:pPr>
      <w:r>
        <w:rPr>
          <w:bCs/>
          <w:b/>
        </w:rPr>
        <w:t xml:space="preserve">Net End-of-Life Emissions:</w:t>
      </w:r>
      <w:r>
        <w:t xml:space="preserve"> </w:t>
      </w:r>
      <w:r>
        <w:t xml:space="preserve">0.5175 kgCO2e - 0.805 kgCO2e = -0.2875 kgCO2e</w:t>
      </w:r>
    </w:p>
    <w:bookmarkEnd w:id="31"/>
    <w:bookmarkStart w:id="32" w:name="total-product-carbon-footprint-pcf"/>
    <w:p>
      <w:pPr>
        <w:pStyle w:val="Heading3"/>
      </w:pPr>
      <w:r>
        <w:t xml:space="preserve">Total Product Carbon Footprint (PCF)</w:t>
      </w:r>
    </w:p>
    <w:p>
      <w:pPr>
        <w:pStyle w:val="FirstParagraph"/>
      </w:pPr>
      <w:r>
        <w:t xml:space="preserve">The sum of emissions across all lifecycle stages:</w:t>
      </w:r>
    </w:p>
    <w:p>
      <w:pPr>
        <w:pStyle w:val="BodyText"/>
      </w:pPr>
      <w:r>
        <w:t xml:space="preserve">6.50 (Materials) + 3.00 (Manufacturing) + 0.2386 (Transport) + 30.00 (Use Phase) - 0.2875 (EoL) =</w:t>
      </w:r>
      <w:r>
        <w:t xml:space="preserve"> </w:t>
      </w:r>
      <w:r>
        <w:rPr>
          <w:bCs/>
          <w:b/>
        </w:rPr>
        <w:t xml:space="preserve">39.45 kgCO2e per unit of duxdqzpvqf</w:t>
      </w:r>
    </w:p>
    <w:bookmarkEnd w:id="32"/>
    <w:bookmarkStart w:id="33" w:name="emissions-by-ghg-protocol-scope"/>
    <w:p>
      <w:pPr>
        <w:pStyle w:val="Heading3"/>
      </w:pPr>
      <w:r>
        <w:t xml:space="preserve">Emissions by GHG Protocol Scope</w:t>
      </w:r>
    </w:p>
    <w:p>
      <w:pPr>
        <w:pStyle w:val="FirstParagraph"/>
      </w:pPr>
      <w:r>
        <w:t xml:space="preserve">As per GHG Protocol, emissions are categorized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Stages Included</w:t>
            </w:r>
          </w:p>
        </w:tc>
        <w:tc>
          <w:tcPr/>
          <w:p>
            <w:pPr>
              <w:pStyle w:val="Compact"/>
              <w:jc w:val="left"/>
            </w:pPr>
            <w:r>
              <w:t xml:space="preserve">Emissions (kgCO2e)</w:t>
            </w:r>
          </w:p>
        </w:tc>
        <w:tc>
          <w:tcPr/>
          <w:p>
            <w:pPr>
              <w:pStyle w:val="Compact"/>
              <w:jc w:val="left"/>
            </w:pPr>
            <w:r>
              <w:t xml:space="preserve">Percentage of Total (%)</w:t>
            </w:r>
          </w:p>
        </w:tc>
      </w:tr>
      <w:tr>
        <w:tc>
          <w:tcPr/>
          <w:p>
            <w:pPr>
              <w:pStyle w:val="Compact"/>
              <w:jc w:val="left"/>
            </w:pPr>
            <w:r>
              <w:rPr>
                <w:bCs/>
                <w:b/>
              </w:rPr>
              <w:t xml:space="preserve">Scope 1</w:t>
            </w:r>
          </w:p>
        </w:tc>
        <w:tc>
          <w:tcPr/>
          <w:p>
            <w:pPr>
              <w:pStyle w:val="Compact"/>
              <w:jc w:val="left"/>
            </w:pPr>
            <w:r>
              <w:t xml:space="preserve">Direct emissions (on-site fuel combustion)</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3.00</w:t>
            </w:r>
          </w:p>
        </w:tc>
        <w:tc>
          <w:tcPr/>
          <w:p>
            <w:pPr>
              <w:pStyle w:val="Compact"/>
              <w:jc w:val="left"/>
            </w:pPr>
            <w:r>
              <w:t xml:space="preserve">7.6%</w:t>
            </w:r>
          </w:p>
        </w:tc>
      </w:tr>
      <w:tr>
        <w:tc>
          <w:tcPr/>
          <w:p>
            <w:pPr>
              <w:pStyle w:val="Compact"/>
              <w:jc w:val="left"/>
            </w:pPr>
            <w:r>
              <w:rPr>
                <w:bCs/>
                <w:b/>
              </w:rPr>
              <w:t xml:space="preserve">Scope 3</w:t>
            </w:r>
          </w:p>
        </w:tc>
        <w:tc>
          <w:tcPr/>
          <w:p>
            <w:pPr>
              <w:pStyle w:val="Compact"/>
              <w:jc w:val="left"/>
            </w:pPr>
            <w:r>
              <w:t xml:space="preserve">Material Acquisition, Transport &amp; Distribution, Use Phase, End-of-Life</w:t>
            </w:r>
          </w:p>
        </w:tc>
        <w:tc>
          <w:tcPr/>
          <w:p>
            <w:pPr>
              <w:pStyle w:val="Compact"/>
              <w:jc w:val="left"/>
            </w:pPr>
            <w:r>
              <w:t xml:space="preserve">36.45</w:t>
            </w:r>
          </w:p>
        </w:tc>
        <w:tc>
          <w:tcPr/>
          <w:p>
            <w:pPr>
              <w:pStyle w:val="Compact"/>
              <w:jc w:val="left"/>
            </w:pPr>
            <w:r>
              <w:t xml:space="preserve">92.4%</w:t>
            </w:r>
          </w:p>
        </w:tc>
      </w:tr>
      <w:tr>
        <w:tc>
          <w:tcPr>
            <w:gridSpan w:val="2"/>
          </w:tcPr>
          <w:p>
            <w:pPr>
              <w:pStyle w:val="Compact"/>
              <w:jc w:val="left"/>
            </w:pPr>
            <w:r>
              <w:rPr>
                <w:bCs/>
                <w:b/>
              </w:rPr>
              <w:t xml:space="preserve">Total PCF</w:t>
            </w:r>
          </w:p>
        </w:tc>
        <w:tc>
          <w:tcPr/>
          <w:p>
            <w:pPr>
              <w:pStyle w:val="Compact"/>
              <w:jc w:val="left"/>
            </w:pPr>
            <w:r>
              <w:rPr>
                <w:bCs/>
                <w:b/>
              </w:rPr>
              <w:t xml:space="preserve">39.45</w:t>
            </w:r>
          </w:p>
        </w:tc>
        <w:tc>
          <w:tcPr/>
          <w:p>
            <w:pPr>
              <w:pStyle w:val="Compact"/>
              <w:jc w:val="left"/>
            </w:pPr>
            <w:r>
              <w:rPr>
                <w:bCs/>
                <w:b/>
              </w:rPr>
              <w:t xml:space="preserve">100.0%</w:t>
            </w:r>
          </w:p>
        </w:tc>
      </w:tr>
    </w:tbl>
    <w:p>
      <w:pPr>
        <w:pStyle w:val="BodyText"/>
      </w:pPr>
      <w:r>
        <w:rPr>
          <w:bCs/>
          <w:b/>
        </w:rPr>
        <w:t xml:space="preserve">Scope 3 Compliance:</w:t>
      </w:r>
      <w:r>
        <w:t xml:space="preserve"> </w:t>
      </w:r>
      <w:r>
        <w:t xml:space="preserve">This analysis ensures significant coverage of Scope 3 emissions (92.4%), aiming towards the 95% coverage requirement for 2026. Further refinement with more granular data for upstream and downstream activities can enhance this coverage.</w:t>
      </w:r>
    </w:p>
    <w:p>
      <w:r>
        <w:pict>
          <v:rect style="width:0;height:1.5pt" o:hralign="center" o:hrstd="t" o:hr="t"/>
        </w:pict>
      </w:r>
    </w:p>
    <w:bookmarkEnd w:id="33"/>
    <w:bookmarkEnd w:id="34"/>
    <w:bookmarkStart w:id="38" w:name="review-report"/>
    <w:p>
      <w:pPr>
        <w:pStyle w:val="Heading2"/>
      </w:pPr>
      <w:r>
        <w:t xml:space="preserve">5. Review &amp; Report</w:t>
      </w:r>
    </w:p>
    <w:p>
      <w:pPr>
        <w:pStyle w:val="FirstParagraph"/>
      </w:pPr>
      <w:r>
        <w:t xml:space="preserve">This final section summarizes the findings, identifies hotspots, discusses data reliability, and offers recommendations.</w:t>
      </w:r>
    </w:p>
    <w:bookmarkStart w:id="35" w:name="key-findings-hotspots"/>
    <w:p>
      <w:pPr>
        <w:pStyle w:val="Heading3"/>
      </w:pPr>
      <w:r>
        <w:t xml:space="preserve">Key Findings &amp; Hotspots:</w:t>
      </w:r>
    </w:p>
    <w:p>
      <w:pPr>
        <w:numPr>
          <w:ilvl w:val="0"/>
          <w:numId w:val="1015"/>
        </w:numPr>
        <w:pStyle w:val="Compact"/>
      </w:pPr>
      <w:r>
        <w:t xml:space="preserve">The</w:t>
      </w:r>
      <w:r>
        <w:t xml:space="preserve"> </w:t>
      </w:r>
      <w:r>
        <w:rPr>
          <w:bCs/>
          <w:b/>
        </w:rPr>
        <w:t xml:space="preserve">Use Phase (30.00 kgCO2e, 76.0%)</w:t>
      </w:r>
      <w:r>
        <w:t xml:space="preserve"> </w:t>
      </w:r>
      <w:r>
        <w:t xml:space="preserve">is the dominant contributor to the product\'s carbon footprint, primarily due to the energy consumption of duxdqzpvqf over its lifespan.</w:t>
      </w:r>
    </w:p>
    <w:p>
      <w:pPr>
        <w:numPr>
          <w:ilvl w:val="0"/>
          <w:numId w:val="1015"/>
        </w:numPr>
        <w:pStyle w:val="Compact"/>
      </w:pPr>
      <w:r>
        <w:rPr>
          <w:bCs/>
          <w:b/>
        </w:rPr>
        <w:t xml:space="preserve">Material Acquisition &amp; Pre-processing (6.50 kgCO2e, 16.5%)</w:t>
      </w:r>
      <w:r>
        <w:t xml:space="preserve"> </w:t>
      </w:r>
      <w:r>
        <w:t xml:space="preserve">is the second-largest hotspot, emphasizing the importance of material selection and supply chain sustainability.</w:t>
      </w:r>
    </w:p>
    <w:p>
      <w:pPr>
        <w:numPr>
          <w:ilvl w:val="0"/>
          <w:numId w:val="1015"/>
        </w:numPr>
        <w:pStyle w:val="Compact"/>
      </w:pPr>
      <w:r>
        <w:rPr>
          <w:bCs/>
          <w:b/>
        </w:rPr>
        <w:t xml:space="preserve">Manufacturing (3.00 kgCO2e, 7.6%)</w:t>
      </w:r>
      <w:r>
        <w:t xml:space="preserve">, specifically purchased electricity, is a notable contributor, indicating opportunities for increased renewable energy adoption.</w:t>
      </w:r>
    </w:p>
    <w:p>
      <w:pPr>
        <w:numPr>
          <w:ilvl w:val="0"/>
          <w:numId w:val="1015"/>
        </w:numPr>
        <w:pStyle w:val="Compact"/>
      </w:pPr>
      <w:r>
        <w:rPr>
          <w:bCs/>
          <w:b/>
        </w:rPr>
        <w:t xml:space="preserve">End-of-Life (net -0.2875 kgCO2e, -0.7%)</w:t>
      </w:r>
      <w:r>
        <w:t xml:space="preserve"> </w:t>
      </w:r>
      <w:r>
        <w:t xml:space="preserve">provides a net benefit due to the high recyclability percentage and the existence of circular programs, demonstrating effective circular economy strategies.</w:t>
      </w:r>
    </w:p>
    <w:p>
      <w:pPr>
        <w:numPr>
          <w:ilvl w:val="0"/>
          <w:numId w:val="1015"/>
        </w:numPr>
        <w:pStyle w:val="Compact"/>
      </w:pPr>
      <w:r>
        <w:rPr>
          <w:bCs/>
          <w:b/>
        </w:rPr>
        <w:t xml:space="preserve">Transport &amp; Distribution (0.2386 kgCO2e, 0.6%)</w:t>
      </w:r>
      <w:r>
        <w:t xml:space="preserve">, while contributing, is less significant compared to other stages in this analysis.</w:t>
      </w:r>
    </w:p>
    <w:bookmarkEnd w:id="35"/>
    <w:bookmarkStart w:id="36" w:name="reliability-and-data-gaps"/>
    <w:p>
      <w:pPr>
        <w:pStyle w:val="Heading3"/>
      </w:pPr>
      <w:r>
        <w:t xml:space="preserve">Reliability and Data Gaps:</w:t>
      </w:r>
    </w:p>
    <w:p>
      <w:pPr>
        <w:pStyle w:val="FirstParagraph"/>
      </w:pPr>
      <w:r>
        <w:t xml:space="preserve">The reliability of this PCF analysis is contingent on the accuracy of the input data. While the provided BOM data includes specific carbon values for materials, other parameters were placeholder values requiring assumptions (e.g., specific transport modes and distances, energy grid mixes, end-of-life processes). Greater reliability can be achieved through:</w:t>
      </w:r>
    </w:p>
    <w:p>
      <w:pPr>
        <w:numPr>
          <w:ilvl w:val="0"/>
          <w:numId w:val="1016"/>
        </w:numPr>
        <w:pStyle w:val="Compact"/>
      </w:pPr>
      <w:r>
        <w:t xml:space="preserve">Collection of primary data for all manufacturing processes (Scope 1 &amp; 2).</w:t>
      </w:r>
    </w:p>
    <w:p>
      <w:pPr>
        <w:numPr>
          <w:ilvl w:val="0"/>
          <w:numId w:val="1016"/>
        </w:numPr>
        <w:pStyle w:val="Compact"/>
      </w:pPr>
      <w:r>
        <w:t xml:space="preserve">Specific data for all upstream material transport (material suppliers to factory).</w:t>
      </w:r>
    </w:p>
    <w:p>
      <w:pPr>
        <w:numPr>
          <w:ilvl w:val="0"/>
          <w:numId w:val="1016"/>
        </w:numPr>
        <w:pStyle w:val="Compact"/>
      </w:pPr>
      <w:r>
        <w:t xml:space="preserve">Actual average distances and modes for downstream distribution and last-mile delivery.</w:t>
      </w:r>
    </w:p>
    <w:p>
      <w:pPr>
        <w:numPr>
          <w:ilvl w:val="0"/>
          <w:numId w:val="1016"/>
        </w:numPr>
        <w:pStyle w:val="Compact"/>
      </w:pPr>
      <w:r>
        <w:t xml:space="preserve">More precise regional electricity grid mixes for the use phase.</w:t>
      </w:r>
    </w:p>
    <w:p>
      <w:pPr>
        <w:numPr>
          <w:ilvl w:val="0"/>
          <w:numId w:val="1016"/>
        </w:numPr>
        <w:pStyle w:val="Compact"/>
      </w:pPr>
      <w:r>
        <w:t xml:space="preserve">Detailed data on the actual fate of products at end-of-life (e.g., actual recycling rates, disposal methods).</w:t>
      </w:r>
    </w:p>
    <w:bookmarkEnd w:id="36"/>
    <w:bookmarkStart w:id="37" w:name="recommendations-for-uidxxtuvwl"/>
    <w:p>
      <w:pPr>
        <w:pStyle w:val="Heading3"/>
      </w:pPr>
      <w:r>
        <w:t xml:space="preserve">Recommendations for uidxxtuvwl:</w:t>
      </w:r>
    </w:p>
    <w:p>
      <w:pPr>
        <w:pStyle w:val="FirstParagraph"/>
      </w:pPr>
      <w:r>
        <w:t xml:space="preserve">Based on this PCF analysis, the following actions are recommended for uidxxtuvwl to reduce the environmental impact of duxdqzpvqf:</w:t>
      </w:r>
    </w:p>
    <w:p>
      <w:pPr>
        <w:numPr>
          <w:ilvl w:val="0"/>
          <w:numId w:val="1017"/>
        </w:numPr>
        <w:pStyle w:val="Compact"/>
      </w:pPr>
      <w:r>
        <w:rPr>
          <w:bCs/>
          <w:b/>
        </w:rPr>
        <w:t xml:space="preserve">Reduce Use Phase Emissions:</w:t>
      </w:r>
      <w:r>
        <w:t xml:space="preserve"> </w:t>
      </w:r>
      <w:r>
        <w:t xml:space="preserve">Focus on improving the energy efficiency of duxdqzpvqf during its operational life. This could involve design changes, user education on efficient use, or exploration of energy-saving modes.</w:t>
      </w:r>
    </w:p>
    <w:p>
      <w:pPr>
        <w:numPr>
          <w:ilvl w:val="0"/>
          <w:numId w:val="1017"/>
        </w:numPr>
        <w:pStyle w:val="Compact"/>
      </w:pPr>
      <w:r>
        <w:rPr>
          <w:bCs/>
          <w:b/>
        </w:rPr>
        <w:t xml:space="preserve">Optimize Material Selection:</w:t>
      </w:r>
      <w:r>
        <w:t xml:space="preserve"> </w:t>
      </w:r>
      <w:r>
        <w:t xml:space="preserve">Investigate alternative materials with lower embodied carbon for components like aluminum casing and plastic enclosure, without compromising product quality or functionality.</w:t>
      </w:r>
    </w:p>
    <w:p>
      <w:pPr>
        <w:numPr>
          <w:ilvl w:val="0"/>
          <w:numId w:val="1017"/>
        </w:numPr>
        <w:pStyle w:val="Compact"/>
      </w:pPr>
      <w:r>
        <w:rPr>
          <w:bCs/>
          <w:b/>
        </w:rPr>
        <w:t xml:space="preserve">Enhance Manufacturing Sustainability:</w:t>
      </w:r>
      <w:r>
        <w:t xml:space="preserve"> </w:t>
      </w:r>
      <w:r>
        <w:t xml:space="preserve">Increase the percentage of renewable energy used in manufacturing operations beyond the current kwkytnortp (50%), either through on-site generation or purchasing renewable energy credits/green tariffs.</w:t>
      </w:r>
    </w:p>
    <w:p>
      <w:pPr>
        <w:numPr>
          <w:ilvl w:val="0"/>
          <w:numId w:val="1017"/>
        </w:numPr>
        <w:pStyle w:val="Compact"/>
      </w:pPr>
      <w:r>
        <w:rPr>
          <w:bCs/>
          <w:b/>
        </w:rPr>
        <w:t xml:space="preserve">Strengthen Circular Economy Initiatives:</w:t>
      </w:r>
      <w:r>
        <w:t xml:space="preserve"> </w:t>
      </w:r>
      <w:r>
        <w:t xml:space="preserve">Continue and expand circular design principles, including design for durability, repairability, and further increasing recyclability beyond gppeyfqyyi (70%). Leverage existing take-back programs (ueldlvqhzd) effectively to maximize material recovery.</w:t>
      </w:r>
    </w:p>
    <w:p>
      <w:pPr>
        <w:numPr>
          <w:ilvl w:val="0"/>
          <w:numId w:val="1017"/>
        </w:numPr>
        <w:pStyle w:val="Compact"/>
      </w:pPr>
      <w:r>
        <w:rPr>
          <w:bCs/>
          <w:b/>
        </w:rPr>
        <w:t xml:space="preserve">Supply Chain Engagement:</w:t>
      </w:r>
      <w:r>
        <w:t xml:space="preserve"> </w:t>
      </w:r>
      <w:r>
        <w:t xml:space="preserve">Engage with material suppliers to encourage their decarbonization efforts and explore opportunities for lower-carbon logistics in the upstream supply chain.</w:t>
      </w:r>
    </w:p>
    <w:p>
      <w:pPr>
        <w:pStyle w:val="FirstParagraph"/>
      </w:pPr>
      <w:r>
        <w:t xml:space="preserve">This report serves as a baseline for uidxxtuvwl\'s sustainability efforts for duxdqzpvqf. Continuous monitoring and improvement based on more specific data will further refine the understanding of its environmental impact.</w:t>
      </w:r>
    </w:p>
    <w:p>
      <w:r>
        <w:pict>
          <v:rect style="width:0;height:1.5pt" o:hralign="center" o:hrstd="t" o:hr="t"/>
        </w:pict>
      </w:r>
    </w:p>
    <w:p>
      <w:pPr>
        <w:pStyle w:val="FirstParagraph"/>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duxdqzpvqf</dc:title>
  <dc:creator/>
  <dc:description>Detailed Product Carbon Footprint (PCF) analysis report for duxdqzpvqf, performed by phyhgrkhru, a Senior Sustainability Consultant specializing in GHG Protocol. Covers cradle-to-grave emissions, material impacts, energy consumption, transport, use phase, and end-of-life scenarios.</dc:description>
  <dc:language>en</dc:language>
  <cp:keywords/>
  <dcterms:created xsi:type="dcterms:W3CDTF">2026-05-30T23:00:56Z</dcterms:created>
  <dcterms:modified xsi:type="dcterms:W3CDTF">2026-05-30T23:00:56Z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