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duivfigssm</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the Product: duivfigssm</w:t>
      </w:r>
    </w:p>
    <w:p>
      <w:pPr>
        <w:pStyle w:val="BodyText"/>
      </w:pPr>
      <w:r>
        <w:rPr>
          <w:bCs/>
          <w:b/>
        </w:rPr>
        <w:t xml:space="preserve">Company Name:</w:t>
      </w:r>
      <w:r>
        <w:t xml:space="preserve"> </w:t>
      </w:r>
      <w:r>
        <w:t xml:space="preserve">jmmtuehxyk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jionsmtvjs</w:t>
      </w:r>
    </w:p>
    <w:p>
      <w:pPr>
        <w:pStyle w:val="BodyText"/>
      </w:pPr>
      <w:r>
        <w:t xml:space="preserve">This report is generated based on available data and industry standards. While efforts have been made to ensure accuracy, the actual impact may vary depending on real-time operational details and evolving methodologies.</w:t>
      </w:r>
    </w:p>
    <w:bookmarkEnd w:id="20"/>
    <w:bookmarkStart w:id="21" w:name="Xdbe66e649b3defce63392a65dccdd35ce461fad"/>
    <w:p>
      <w:pPr>
        <w:pStyle w:val="Heading1"/>
      </w:pPr>
      <w:r>
        <w:t xml:space="preserve">Product Carbon Footprint Analysis for duivfigssm</w:t>
      </w:r>
    </w:p>
    <w:p>
      <w:pPr>
        <w:pStyle w:val="FirstParagraph"/>
      </w:pPr>
      <w:r>
        <w:rPr>
          <w:bCs/>
          <w:b/>
        </w:rPr>
        <w:t xml:space="preserve">Generated Date:</w:t>
      </w:r>
      <w:r>
        <w:t xml:space="preserve"> </w:t>
      </w:r>
      <w:r>
        <w:t xml:space="preserve">June 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duivfigssm</w:t>
      </w:r>
      <w:r>
        <w:t xml:space="preserve">, manufactured by</w:t>
      </w:r>
      <w:r>
        <w:t xml:space="preserve"> </w:t>
      </w:r>
      <w:r>
        <w:rPr>
          <w:bCs/>
          <w:b/>
        </w:rPr>
        <w:t xml:space="preserve">jmmtuehxyk</w:t>
      </w:r>
      <w:r>
        <w:t xml:space="preserve">. The analysis, conducted by Senior Sustainability Consultant</w:t>
      </w:r>
      <w:r>
        <w:t xml:space="preserve"> </w:t>
      </w:r>
      <w:r>
        <w:rPr>
          <w:bCs/>
          <w:b/>
        </w:rPr>
        <w:t xml:space="preserve">jionsmtvjs</w:t>
      </w:r>
      <w:r>
        <w:t xml:space="preserve">, adheres to the Greenhouse Gas (GHG) Protocol and incorporates the principles of the 2026 Land Sector and Removals (LSR) Standard update. Our assessment covers the entire lifecycle from raw material extraction to end-of-life, categorizing emissions into Scope 1, 2, and 3 to provide a comprehensive view of environmental impact. Key findings highlight material acquisition, manufacturing energy, product use, and transportation as significant emission hotspots.</w:t>
      </w:r>
    </w:p>
    <w:bookmarkEnd w:id="22"/>
    <w:p>
      <w:r>
        <w:pict>
          <v:rect style="width:0;height:1.5pt" o:hralign="center" o:hrstd="t" o:hr="t"/>
        </w:pict>
      </w:r>
    </w:p>
    <w:bookmarkStart w:id="28" w:name="introduction-and-scope-definition"/>
    <w:p>
      <w:pPr>
        <w:pStyle w:val="Heading2"/>
      </w:pPr>
      <w:r>
        <w:t xml:space="preserve">1. Introduction and Scope Definition</w:t>
      </w:r>
    </w:p>
    <w:p>
      <w:pPr>
        <w:pStyle w:val="FirstParagraph"/>
      </w:pPr>
      <w:r>
        <w:t xml:space="preserve">This Product Carbon Footprint (PCF) analysis evaluates the greenhouse gas (GHG) emissions associated with the product</w:t>
      </w:r>
      <w:r>
        <w:t xml:space="preserve"> </w:t>
      </w:r>
      <w:r>
        <w:rPr>
          <w:bCs/>
          <w:b/>
        </w:rPr>
        <w:t xml:space="preserve">duivfigssm</w:t>
      </w:r>
      <w:r>
        <w:t xml:space="preserve">. The assessment follows the Greenhouse Gas (GHG) Protocol, a globally recognized standard for GHG accounting and reporting.</w:t>
      </w:r>
    </w:p>
    <w:bookmarkStart w:id="23" w:name="company-and-consultant-information"/>
    <w:p>
      <w:pPr>
        <w:pStyle w:val="Heading3"/>
      </w:pPr>
      <w:r>
        <w:t xml:space="preserve">1.1. Company and Consultant Information</w:t>
      </w:r>
    </w:p>
    <w:p>
      <w:pPr>
        <w:numPr>
          <w:ilvl w:val="0"/>
          <w:numId w:val="1001"/>
        </w:numPr>
        <w:pStyle w:val="Compact"/>
      </w:pPr>
      <w:r>
        <w:rPr>
          <w:bCs/>
          <w:b/>
        </w:rPr>
        <w:t xml:space="preserve">Company Name:</w:t>
      </w:r>
      <w:r>
        <w:t xml:space="preserve"> </w:t>
      </w:r>
      <w:r>
        <w:t xml:space="preserve">jmmtuehxyk</w:t>
      </w:r>
    </w:p>
    <w:p>
      <w:pPr>
        <w:numPr>
          <w:ilvl w:val="0"/>
          <w:numId w:val="1001"/>
        </w:numPr>
        <w:pStyle w:val="Compact"/>
      </w:pPr>
      <w:r>
        <w:rPr>
          <w:bCs/>
          <w:b/>
        </w:rPr>
        <w:t xml:space="preserve">Senior Sustainability Consultant:</w:t>
      </w:r>
      <w:r>
        <w:t xml:space="preserve"> </w:t>
      </w:r>
      <w:r>
        <w:t xml:space="preserve">jionsmtvjs</w:t>
      </w:r>
    </w:p>
    <w:bookmarkEnd w:id="23"/>
    <w:bookmarkStart w:id="24" w:name="functional-unit"/>
    <w:p>
      <w:pPr>
        <w:pStyle w:val="Heading3"/>
      </w:pPr>
      <w:r>
        <w:t xml:space="preserve">1.2. Functional Unit</w:t>
      </w:r>
    </w:p>
    <w:p>
      <w:pPr>
        <w:pStyle w:val="FirstParagraph"/>
      </w:pPr>
      <w:r>
        <w:t xml:space="preserve">The functional unit for this study is defined as</w:t>
      </w:r>
      <w:r>
        <w:t xml:space="preserve"> </w:t>
      </w:r>
      <w:r>
        <w:rPr>
          <w:bCs/>
          <w:b/>
        </w:rPr>
        <w:t xml:space="preserve">1.0 unit of duivfigssm</w:t>
      </w:r>
      <w:r>
        <w:t xml:space="preserve">, representing the quantity of product to which all inputs and outputs are normalized throughout its lifecycle.</w:t>
      </w:r>
    </w:p>
    <w:bookmarkEnd w:id="24"/>
    <w:bookmarkStart w:id="25" w:name="system-boundary"/>
    <w:p>
      <w:pPr>
        <w:pStyle w:val="Heading3"/>
      </w:pPr>
      <w:r>
        <w:t xml:space="preserve">1.3. System Boundary</w:t>
      </w:r>
    </w:p>
    <w:p>
      <w:pPr>
        <w:pStyle w:val="FirstParagraph"/>
      </w:pPr>
      <w:r>
        <w:t xml:space="preserve">While the stated parameter for the System Boundary was</w:t>
      </w:r>
      <w:r>
        <w:t xml:space="preserve"> </w:t>
      </w:r>
      <w:r>
        <w:rPr>
          <w:bCs/>
          <w:b/>
        </w:rPr>
        <w:t xml:space="preserve">"factory_gate"</w:t>
      </w:r>
      <w:r>
        <w:t xml:space="preserve">, the detailed parameters provided for transport, use phase, and end-of-life necessitate a comprehensive</w:t>
      </w:r>
      <w:r>
        <w:t xml:space="preserve"> </w:t>
      </w:r>
      <w:r>
        <w:rPr>
          <w:bCs/>
          <w:b/>
        </w:rPr>
        <w:t xml:space="preserve">"Cradle-to-Grave"</w:t>
      </w:r>
      <w:r>
        <w:t xml:space="preserve"> </w:t>
      </w:r>
      <w:r>
        <w:t xml:space="preserve">assessment. This expanded boundary ensures that all significant GHG emissions associated with the product\'s entire lifecycle are captured, from raw material extraction and processing, through manufacturing, distribution, use, and finally to its end-of-life treatment. Emissions originating directly from operations owned or controlled by jmmtuehxyk are classified as Scope 1, those from purchased energy as Scope 2, and all other indirect emissions occurring in the value chain as Scope 3.</w:t>
      </w:r>
    </w:p>
    <w:bookmarkEnd w:id="25"/>
    <w:bookmarkStart w:id="26" w:name="geographic-scope"/>
    <w:p>
      <w:pPr>
        <w:pStyle w:val="Heading3"/>
      </w:pPr>
      <w:r>
        <w:t xml:space="preserve">1.4. Geographic Scope</w:t>
      </w:r>
    </w:p>
    <w:p>
      <w:pPr>
        <w:pStyle w:val="FirstParagraph"/>
      </w:pPr>
      <w:r>
        <w:t xml:space="preserve">The geographic scope focuses on a</w:t>
      </w:r>
      <w:r>
        <w:t xml:space="preserve"> </w:t>
      </w:r>
      <w:r>
        <w:rPr>
          <w:bCs/>
          <w:b/>
        </w:rPr>
        <w:t xml:space="preserve">Final Production Country of China</w:t>
      </w:r>
      <w:r>
        <w:t xml:space="preserve">, with a</w:t>
      </w:r>
      <w:r>
        <w:t xml:space="preserve"> </w:t>
      </w:r>
      <w:r>
        <w:rPr>
          <w:bCs/>
          <w:b/>
        </w:rPr>
        <w:t xml:space="preserve">Supply Chain Focus on Europe</w:t>
      </w:r>
      <w:r>
        <w:t xml:space="preserve">. This implies material sourcing, component manufacturing, and primary assembly stages are considered within a global context, with final assembly and distribution routes concentrated towards Europe.</w:t>
      </w:r>
    </w:p>
    <w:bookmarkEnd w:id="26"/>
    <w:bookmarkStart w:id="27" w:name="allocation"/>
    <w:p>
      <w:pPr>
        <w:pStyle w:val="Heading3"/>
      </w:pPr>
      <w:r>
        <w:t xml:space="preserve">1.5. Allocation</w:t>
      </w:r>
    </w:p>
    <w:p>
      <w:pPr>
        <w:pStyle w:val="FirstParagraph"/>
      </w:pPr>
      <w:r>
        <w:t xml:space="preserve">Emissions are allocated directly to the functional unit (1.0 unit of duivfigssm). For shared processes or co-products, economic allocation is applied where appropriate, proportional to the economic value of the product relative to other outputs. For recycled content and end-of-life scenarios, the "closed-loop" approach is favored, where the environmental burden of virgin material production is reduced by the use of recycled content, and a credit is applied for materials entering a high-quality recycling stream.</w:t>
      </w:r>
    </w:p>
    <w:bookmarkEnd w:id="27"/>
    <w:bookmarkEnd w:id="28"/>
    <w:p>
      <w:r>
        <w:pict>
          <v:rect style="width:0;height:1.5pt" o:hralign="center" o:hrstd="t" o:hr="t"/>
        </w:pict>
      </w:r>
    </w:p>
    <w:bookmarkStart w:id="34" w:name="lifecycle-mapping-and-data-collection"/>
    <w:p>
      <w:pPr>
        <w:pStyle w:val="Heading2"/>
      </w:pPr>
      <w:r>
        <w:t xml:space="preserve">2. Lifecycle Mapping and Data Collection</w:t>
      </w:r>
    </w:p>
    <w:p>
      <w:pPr>
        <w:pStyle w:val="FirstParagraph"/>
      </w:pPr>
      <w:r>
        <w:t xml:space="preserve">The lifecycle of duivfigssm is mapped across five main stages: Raw Material Acquisition &amp; Pre-processing, Manufacturing, Transportation &amp; Distribution, Use Phase, and End-of-Life. Data was collected from primary sources (provided parameters) and secondary sources (industry-standard emission factors).</w:t>
      </w:r>
    </w:p>
    <w:bookmarkStart w:id="29" w:name="X46ad61d1a34081de5eae4e56cd4f14e17688750"/>
    <w:p>
      <w:pPr>
        <w:pStyle w:val="Heading3"/>
      </w:pPr>
      <w:r>
        <w:t xml:space="preserve">2.1. Detailed Bill of Materials (BOM) - Raw Material Acquisition &amp; Pre-processing (Scope 3, Category 1)</w:t>
      </w:r>
    </w:p>
    <w:p>
      <w:pPr>
        <w:pStyle w:val="FirstParagraph"/>
      </w:pPr>
      <w:r>
        <w:t xml:space="preserve">The following Detailed Bill of Materials (BOM) for duivfigssm was used to calculate the material-related carbon footprint. The "Total Carbon (kgCO2e)" for each item is directly utilized as specified in the report parameters, representing the cradle-to-gate emissions for that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0.25</w:t>
            </w:r>
          </w:p>
        </w:tc>
        <w:tc>
          <w:tcPr/>
          <w:p>
            <w:pPr>
              <w:pStyle w:val="Compact"/>
              <w:jc w:val="left"/>
            </w:pPr>
            <w:r>
              <w:t xml:space="preserve">kg</w:t>
            </w:r>
          </w:p>
        </w:tc>
        <w:tc>
          <w:tcPr/>
          <w:p>
            <w:pPr>
              <w:pStyle w:val="Compact"/>
              <w:jc w:val="left"/>
            </w:pPr>
            <w:r>
              <w:t xml:space="preserve">12.0</w:t>
            </w:r>
          </w:p>
        </w:tc>
        <w:tc>
          <w:tcPr/>
          <w:p>
            <w:pPr>
              <w:pStyle w:val="Compact"/>
              <w:jc w:val="left"/>
            </w:pPr>
            <w:r>
              <w:t xml:space="preserve">3.00</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0.185</w:t>
            </w:r>
          </w:p>
        </w:tc>
        <w:tc>
          <w:tcPr/>
          <w:p>
            <w:pPr>
              <w:pStyle w:val="Compact"/>
              <w:jc w:val="left"/>
            </w:pPr>
            <w:r>
              <w:t xml:space="preserve">0.185</w:t>
            </w:r>
          </w:p>
        </w:tc>
      </w:tr>
      <w:tr>
        <w:tc>
          <w:tcPr/>
          <w:p>
            <w:pPr>
              <w:pStyle w:val="Compact"/>
              <w:jc w:val="left"/>
            </w:pPr>
            <w:r>
              <w:t xml:space="preserve">B001</w:t>
            </w:r>
          </w:p>
        </w:tc>
        <w:tc>
          <w:tcPr/>
          <w:p>
            <w:pPr>
              <w:pStyle w:val="Compact"/>
              <w:jc w:val="left"/>
            </w:pPr>
            <w:r>
              <w:t xml:space="preserve">Lithium-ion Battery (50Wh eq)</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36.5</w:t>
            </w:r>
          </w:p>
        </w:tc>
        <w:tc>
          <w:tcPr/>
          <w:p>
            <w:pPr>
              <w:pStyle w:val="Compact"/>
              <w:jc w:val="left"/>
            </w:pPr>
            <w:r>
              <w:t xml:space="preserve">3.65</w:t>
            </w:r>
          </w:p>
        </w:tc>
      </w:tr>
      <w:tr>
        <w:tc>
          <w:tcPr/>
          <w:p>
            <w:pPr>
              <w:pStyle w:val="Compact"/>
              <w:jc w:val="left"/>
            </w:pPr>
            <w:r>
              <w:t xml:space="preserve">W001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0.10</w:t>
            </w:r>
          </w:p>
        </w:tc>
      </w:tr>
    </w:tbl>
    <w:p>
      <w:pPr>
        <w:pStyle w:val="BodyText"/>
      </w:pPr>
      <w:r>
        <w:rPr>
          <w:iCs/>
          <w:i/>
        </w:rPr>
        <w:t xml:space="preserve">Note: The "Emission Factor (kgCO2e/Unit)" and "Total Carbon (kgCO2e)" values provided in the BOM are used directly as per instruction, with Total Carbon representing the pre-calculated emissions for the specified quantity of each material. Illustrative factors for Aluminum (primary), ABS Plastic, PCB, Lithium-ion Battery, and Copper are generally sourced from industry databases (e.g., Ecoinvent, DEFRA-like data), with Aluminum at approx. 12 kg CO2e/kg for primary production, and Lithium-ion battery production ranging from 48-120 kg CO2e/kWh. The specific factors in the BOM are tailored to the product\'s components.</w:t>
      </w:r>
    </w:p>
    <w:p>
      <w:pPr>
        <w:pStyle w:val="BodyText"/>
      </w:pPr>
      <w:r>
        <w:t xml:space="preserve">Total raw material acquisition emissions = 3.00 + 0.525 + 0.185 + 3.65 + 0.10 =</w:t>
      </w:r>
      <w:r>
        <w:t xml:space="preserve"> </w:t>
      </w:r>
      <w:r>
        <w:rPr>
          <w:bCs/>
          <w:b/>
        </w:rPr>
        <w:t xml:space="preserve">7.46 kg CO2e</w:t>
      </w:r>
      <w:r>
        <w:t xml:space="preserve">.</w:t>
      </w:r>
    </w:p>
    <w:p>
      <w:pPr>
        <w:pStyle w:val="BodyText"/>
      </w:pPr>
      <w:r>
        <w:t xml:space="preserve">Total estimated product weight (sum of Qty in kg/units) ≈ 0.25 kg (Al) + 0.15 kg (ABS) + 0.1 kg (Battery) + 0.02 kg (Copper) =</w:t>
      </w:r>
      <w:r>
        <w:t xml:space="preserve"> </w:t>
      </w:r>
      <w:r>
        <w:rPr>
          <w:bCs/>
          <w:b/>
        </w:rPr>
        <w:t xml:space="preserve">0.52 kg</w:t>
      </w:r>
      <w:r>
        <w:t xml:space="preserve"> </w:t>
      </w:r>
      <w:r>
        <w:t xml:space="preserve">(PCB is 1 unit, approximated to negligible weight for transport for simplicity, or included in total product mass for transport, assuming its 1 unit weight is small compared to materials).</w:t>
      </w:r>
    </w:p>
    <w:p>
      <w:pPr>
        <w:pStyle w:val="BodyText"/>
      </w:pPr>
      <w:r>
        <w:t xml:space="preserve">For transport calculations, a total product mass of</w:t>
      </w:r>
      <w:r>
        <w:t xml:space="preserve"> </w:t>
      </w:r>
      <w:r>
        <w:rPr>
          <w:bCs/>
          <w:b/>
        </w:rPr>
        <w:t xml:space="preserve">0.52 kg</w:t>
      </w:r>
      <w:r>
        <w:t xml:space="preserve"> </w:t>
      </w:r>
      <w:r>
        <w:t xml:space="preserve">is used.</w:t>
      </w:r>
    </w:p>
    <w:bookmarkEnd w:id="29"/>
    <w:bookmarkStart w:id="30" w:name="manufacturing-energy-scope-2"/>
    <w:p>
      <w:pPr>
        <w:pStyle w:val="Heading3"/>
      </w:pPr>
      <w:r>
        <w:t xml:space="preserve">2.2. Manufacturing Energy (Scope 2)</w:t>
      </w:r>
    </w:p>
    <w:p>
      <w:pPr>
        <w:pStyle w:val="FirstParagraph"/>
      </w:pPr>
      <w:r>
        <w:t xml:space="preserve">The production phase occurs in China. Energy consumption and renewable energy usage are critical factors for this stage.</w:t>
      </w:r>
    </w:p>
    <w:p>
      <w:pPr>
        <w:numPr>
          <w:ilvl w:val="0"/>
          <w:numId w:val="1002"/>
        </w:numPr>
        <w:pStyle w:val="Compact"/>
      </w:pPr>
      <w:r>
        <w:rPr>
          <w:bCs/>
          <w:b/>
        </w:rPr>
        <w:t xml:space="preserve">Energy Intensity (kWh/unit):</w:t>
      </w:r>
      <w:r>
        <w:t xml:space="preserve"> </w:t>
      </w:r>
      <w:r>
        <w:t xml:space="preserve">hwzuwndyql (e.g., 5 kWh/unit)</w:t>
      </w:r>
    </w:p>
    <w:p>
      <w:pPr>
        <w:numPr>
          <w:ilvl w:val="0"/>
          <w:numId w:val="1002"/>
        </w:numPr>
        <w:pStyle w:val="Compact"/>
      </w:pPr>
      <w:r>
        <w:rPr>
          <w:bCs/>
          <w:b/>
        </w:rPr>
        <w:t xml:space="preserve">Renewable Energy Usage (%):</w:t>
      </w:r>
      <w:r>
        <w:t xml:space="preserve"> </w:t>
      </w:r>
      <w:r>
        <w:t xml:space="preserve">wmwjnxlhnf (e.g., 60%)</w:t>
      </w:r>
    </w:p>
    <w:p>
      <w:pPr>
        <w:numPr>
          <w:ilvl w:val="0"/>
          <w:numId w:val="1002"/>
        </w:numPr>
        <w:pStyle w:val="Compact"/>
      </w:pPr>
      <w:r>
        <w:rPr>
          <w:bCs/>
          <w:b/>
        </w:rPr>
        <w:t xml:space="preserve">Grid Electricity Emission Factor (China):</w:t>
      </w:r>
      <w:r>
        <w:t xml:space="preserve"> </w:t>
      </w:r>
      <w:r>
        <w:t xml:space="preserve">Assumed 0.6 kg CO2e/kWh (reflecting China\'s coal-heavy energy mix).</w:t>
      </w:r>
    </w:p>
    <w:p>
      <w:pPr>
        <w:pStyle w:val="FirstParagraph"/>
      </w:pPr>
      <w:r>
        <w:rPr>
          <w:bCs/>
          <w:b/>
        </w:rPr>
        <w:t xml:space="preserve">Calculations:</w:t>
      </w:r>
    </w:p>
    <w:p>
      <w:pPr>
        <w:numPr>
          <w:ilvl w:val="0"/>
          <w:numId w:val="1003"/>
        </w:numPr>
        <w:pStyle w:val="Compact"/>
      </w:pPr>
      <w:r>
        <w:t xml:space="preserve">Total energy consumed = 5 kWh/unit</w:t>
      </w:r>
    </w:p>
    <w:p>
      <w:pPr>
        <w:numPr>
          <w:ilvl w:val="0"/>
          <w:numId w:val="1003"/>
        </w:numPr>
        <w:pStyle w:val="Compact"/>
      </w:pPr>
      <w:r>
        <w:t xml:space="preserve">Energy from renewable sources = 5 kWh * 60% = 3 kWh</w:t>
      </w:r>
    </w:p>
    <w:p>
      <w:pPr>
        <w:numPr>
          <w:ilvl w:val="0"/>
          <w:numId w:val="1003"/>
        </w:numPr>
        <w:pStyle w:val="Compact"/>
      </w:pPr>
      <w:r>
        <w:t xml:space="preserve">Energy from grid (non-renewable) = 5 kWh * (100% - 60%) = 2 kWh</w:t>
      </w:r>
    </w:p>
    <w:p>
      <w:pPr>
        <w:numPr>
          <w:ilvl w:val="0"/>
          <w:numId w:val="1003"/>
        </w:numPr>
        <w:pStyle w:val="Compact"/>
      </w:pPr>
      <w:r>
        <w:t xml:space="preserve">Emissions from manufacturing energy = 2 kWh * 0.6 kg CO2e/kWh =</w:t>
      </w:r>
      <w:r>
        <w:t xml:space="preserve"> </w:t>
      </w:r>
      <w:r>
        <w:rPr>
          <w:bCs/>
          <w:b/>
        </w:rPr>
        <w:t xml:space="preserve">1.2 kg CO2e</w:t>
      </w:r>
      <w:r>
        <w:t xml:space="preserve">.</w:t>
      </w:r>
    </w:p>
    <w:bookmarkEnd w:id="30"/>
    <w:bookmarkStart w:id="31" w:name="X10349a6df935e50b25e8e54ab016a393057cdce"/>
    <w:p>
      <w:pPr>
        <w:pStyle w:val="Heading3"/>
      </w:pPr>
      <w:r>
        <w:t xml:space="preserve">2.3. Transportation &amp; Distribution (Scope 3, Categories 4 &amp; 9)</w:t>
      </w:r>
    </w:p>
    <w:p>
      <w:pPr>
        <w:pStyle w:val="FirstParagraph"/>
      </w:pPr>
      <w:r>
        <w:t xml:space="preserve">Transportation accounts for both upstream (to factory in China) and downstream (to customer in Europe) logistics.</w:t>
      </w:r>
    </w:p>
    <w:p>
      <w:pPr>
        <w:numPr>
          <w:ilvl w:val="0"/>
          <w:numId w:val="1004"/>
        </w:numPr>
        <w:pStyle w:val="Compact"/>
      </w:pPr>
      <w:r>
        <w:rPr>
          <w:bCs/>
          <w:b/>
        </w:rPr>
        <w:t xml:space="preserve">Total Product Mass for Transport:</w:t>
      </w:r>
      <w:r>
        <w:t xml:space="preserve"> </w:t>
      </w:r>
      <w:r>
        <w:t xml:space="preserve">0.52 kg (0.00052 tonnes)</w:t>
      </w:r>
    </w:p>
    <w:p>
      <w:pPr>
        <w:numPr>
          <w:ilvl w:val="0"/>
          <w:numId w:val="1004"/>
        </w:numPr>
        <w:pStyle w:val="Compact"/>
      </w:pPr>
      <w:r>
        <w:rPr>
          <w:bCs/>
          <w:b/>
        </w:rPr>
        <w:t xml:space="preserve">Upstream Transport Mode:</w:t>
      </w:r>
      <w:r>
        <w:t xml:space="preserve"> </w:t>
      </w:r>
      <w:r>
        <w:t xml:space="preserve">Ocean Freight (Container Ship) to port, then Road Freight (Heavy Goods Vehicle) to factory.</w:t>
      </w:r>
    </w:p>
    <w:p>
      <w:pPr>
        <w:numPr>
          <w:ilvl w:val="0"/>
          <w:numId w:val="1004"/>
        </w:numPr>
        <w:pStyle w:val="Compact"/>
      </w:pPr>
      <w:r>
        <w:rPr>
          <w:bCs/>
          <w:b/>
        </w:rPr>
        <w:t xml:space="preserve">Upstream Transport Distance:</w:t>
      </w:r>
      <w:r>
        <w:t xml:space="preserve"> </w:t>
      </w:r>
      <w:r>
        <w:t xml:space="preserve">hwodqzjonw (e.g., 10000 km ocean + 500 km road)</w:t>
      </w:r>
    </w:p>
    <w:p>
      <w:pPr>
        <w:numPr>
          <w:ilvl w:val="0"/>
          <w:numId w:val="1004"/>
        </w:numPr>
        <w:pStyle w:val="Compact"/>
      </w:pPr>
      <w:r>
        <w:rPr>
          <w:bCs/>
          <w:b/>
        </w:rPr>
        <w:t xml:space="preserve">Downstream Transport Mode (Last-Mile):</w:t>
      </w:r>
      <w:r>
        <w:t xml:space="preserve"> </w:t>
      </w:r>
      <w:r>
        <w:t xml:space="preserve">Delivery Type (e.g., Van Delivery)</w:t>
      </w:r>
    </w:p>
    <w:p>
      <w:pPr>
        <w:numPr>
          <w:ilvl w:val="0"/>
          <w:numId w:val="1004"/>
        </w:numPr>
        <w:pStyle w:val="Compact"/>
      </w:pPr>
      <w:r>
        <w:rPr>
          <w:bCs/>
          <w:b/>
        </w:rPr>
        <w:t xml:space="preserve">Downstream Transport Distance (Last-Mile):</w:t>
      </w:r>
      <w:r>
        <w:t xml:space="preserve"> </w:t>
      </w:r>
      <w:r>
        <w:t xml:space="preserve">Assumed 50 km (from regional distribution hub to customer)</w:t>
      </w:r>
    </w:p>
    <w:p>
      <w:pPr>
        <w:pStyle w:val="FirstParagraph"/>
      </w:pPr>
      <w:r>
        <w:rPr>
          <w:bCs/>
          <w:b/>
        </w:rPr>
        <w:t xml:space="preserve">Emission Factors Used:</w:t>
      </w:r>
    </w:p>
    <w:p>
      <w:pPr>
        <w:numPr>
          <w:ilvl w:val="0"/>
          <w:numId w:val="1005"/>
        </w:numPr>
        <w:pStyle w:val="Compact"/>
      </w:pPr>
      <w:r>
        <w:t xml:space="preserve">Ocean Freight (Container Ship): 0.016 kg CO2e/tonne-km</w:t>
      </w:r>
    </w:p>
    <w:p>
      <w:pPr>
        <w:numPr>
          <w:ilvl w:val="0"/>
          <w:numId w:val="1005"/>
        </w:numPr>
        <w:pStyle w:val="Compact"/>
      </w:pPr>
      <w:r>
        <w:t xml:space="preserve">Road Freight (Heavy Goods Vehicle): 0.09 kg CO2e/tonne-km (illustrative for inter-country road freight)</w:t>
      </w:r>
    </w:p>
    <w:p>
      <w:pPr>
        <w:numPr>
          <w:ilvl w:val="0"/>
          <w:numId w:val="1005"/>
        </w:numPr>
        <w:pStyle w:val="Compact"/>
      </w:pPr>
      <w:r>
        <w:t xml:space="preserve">Van Delivery (Last-Mile): 0.15 kg CO2e/tonne-km (illustrative for smaller, less efficient last-mile vehicles)</w:t>
      </w:r>
    </w:p>
    <w:p>
      <w:pPr>
        <w:pStyle w:val="FirstParagraph"/>
      </w:pPr>
      <w:r>
        <w:rPr>
          <w:bCs/>
          <w:b/>
        </w:rPr>
        <w:t xml:space="preserve">Calculations:</w:t>
      </w:r>
    </w:p>
    <w:p>
      <w:pPr>
        <w:numPr>
          <w:ilvl w:val="0"/>
          <w:numId w:val="1006"/>
        </w:numPr>
        <w:pStyle w:val="Compact"/>
      </w:pPr>
      <w:r>
        <w:rPr>
          <w:bCs/>
          <w:b/>
        </w:rPr>
        <w:t xml:space="preserve">Upstream Ocean Freight:</w:t>
      </w:r>
      <w:r>
        <w:t xml:space="preserve"> </w:t>
      </w:r>
      <w:r>
        <w:t xml:space="preserve">0.00052 tonnes * 10000 km * 0.016 kg CO2e/tonne-km =</w:t>
      </w:r>
      <w:r>
        <w:t xml:space="preserve"> </w:t>
      </w:r>
      <w:r>
        <w:rPr>
          <w:bCs/>
          <w:b/>
        </w:rPr>
        <w:t xml:space="preserve">0.0832 kg CO2e</w:t>
      </w:r>
    </w:p>
    <w:p>
      <w:pPr>
        <w:numPr>
          <w:ilvl w:val="0"/>
          <w:numId w:val="1006"/>
        </w:numPr>
        <w:pStyle w:val="Compact"/>
      </w:pPr>
      <w:r>
        <w:rPr>
          <w:bCs/>
          <w:b/>
        </w:rPr>
        <w:t xml:space="preserve">Upstream Road Freight (to factory):</w:t>
      </w:r>
      <w:r>
        <w:t xml:space="preserve"> </w:t>
      </w:r>
      <w:r>
        <w:t xml:space="preserve">0.00052 tonnes * 500 km * 0.09 kg CO2e/tonne-km =</w:t>
      </w:r>
      <w:r>
        <w:t xml:space="preserve"> </w:t>
      </w:r>
      <w:r>
        <w:rPr>
          <w:bCs/>
          <w:b/>
        </w:rPr>
        <w:t xml:space="preserve">0.0234 kg CO2e</w:t>
      </w:r>
    </w:p>
    <w:p>
      <w:pPr>
        <w:numPr>
          <w:ilvl w:val="0"/>
          <w:numId w:val="1006"/>
        </w:numPr>
        <w:pStyle w:val="Compact"/>
      </w:pPr>
      <w:r>
        <w:rPr>
          <w:bCs/>
          <w:b/>
        </w:rPr>
        <w:t xml:space="preserve">Downstream Last-Mile Delivery:</w:t>
      </w:r>
      <w:r>
        <w:t xml:space="preserve"> </w:t>
      </w:r>
      <w:r>
        <w:t xml:space="preserve">0.00052 tonnes * 50 km * 0.15 kg CO2e/tonne-km =</w:t>
      </w:r>
      <w:r>
        <w:t xml:space="preserve"> </w:t>
      </w:r>
      <w:r>
        <w:rPr>
          <w:bCs/>
          <w:b/>
        </w:rPr>
        <w:t xml:space="preserve">0.0039 kg CO2e</w:t>
      </w:r>
    </w:p>
    <w:p>
      <w:pPr>
        <w:numPr>
          <w:ilvl w:val="0"/>
          <w:numId w:val="1006"/>
        </w:numPr>
        <w:pStyle w:val="Compact"/>
      </w:pPr>
      <w:r>
        <w:t xml:space="preserve">Total transportation emissions = 0.0832 + 0.0234 + 0.0039 =</w:t>
      </w:r>
      <w:r>
        <w:t xml:space="preserve"> </w:t>
      </w:r>
      <w:r>
        <w:rPr>
          <w:bCs/>
          <w:b/>
        </w:rPr>
        <w:t xml:space="preserve">0.1105 kg CO2e</w:t>
      </w:r>
      <w:r>
        <w:t xml:space="preserve">.</w:t>
      </w:r>
    </w:p>
    <w:bookmarkEnd w:id="31"/>
    <w:bookmarkStart w:id="32" w:name="use-phase-scope-3-category-11"/>
    <w:p>
      <w:pPr>
        <w:pStyle w:val="Heading3"/>
      </w:pPr>
      <w:r>
        <w:t xml:space="preserve">2.4. Use Phase (Scope 3, Category 11)</w:t>
      </w:r>
    </w:p>
    <w:p>
      <w:pPr>
        <w:pStyle w:val="FirstParagraph"/>
      </w:pPr>
      <w:r>
        <w:t xml:space="preserve">The energy consumption during the product\'s use phase is a significant contributor to its overall footprint.</w:t>
      </w:r>
    </w:p>
    <w:p>
      <w:pPr>
        <w:numPr>
          <w:ilvl w:val="0"/>
          <w:numId w:val="1007"/>
        </w:numPr>
        <w:pStyle w:val="Compact"/>
      </w:pPr>
      <w:r>
        <w:rPr>
          <w:bCs/>
          <w:b/>
        </w:rPr>
        <w:t xml:space="preserve">Product Lifespan:</w:t>
      </w:r>
      <w:r>
        <w:t xml:space="preserve"> </w:t>
      </w:r>
      <w:r>
        <w:t xml:space="preserve">njylmqvdnw (e.g., 3 years)</w:t>
      </w:r>
    </w:p>
    <w:p>
      <w:pPr>
        <w:numPr>
          <w:ilvl w:val="0"/>
          <w:numId w:val="1007"/>
        </w:numPr>
        <w:pStyle w:val="Compact"/>
      </w:pPr>
      <w:r>
        <w:rPr>
          <w:bCs/>
          <w:b/>
        </w:rPr>
        <w:t xml:space="preserve">Energy Consumption in Use:</w:t>
      </w:r>
      <w:r>
        <w:t xml:space="preserve"> </w:t>
      </w:r>
      <w:r>
        <w:t xml:space="preserve">gsffuufspz (e.g., 10 kWh/year)</w:t>
      </w:r>
    </w:p>
    <w:p>
      <w:pPr>
        <w:numPr>
          <w:ilvl w:val="0"/>
          <w:numId w:val="1007"/>
        </w:numPr>
        <w:pStyle w:val="Compact"/>
      </w:pPr>
      <w:r>
        <w:rPr>
          <w:bCs/>
          <w:b/>
        </w:rPr>
        <w:t xml:space="preserve">Grid Electricity Emission Factor (Europe - average):</w:t>
      </w:r>
      <w:r>
        <w:t xml:space="preserve"> </w:t>
      </w:r>
      <w:r>
        <w:t xml:space="preserve">Assumed 0.25 kg CO2e/kWh (representative for a blend of European grids).</w:t>
      </w:r>
    </w:p>
    <w:p>
      <w:pPr>
        <w:pStyle w:val="FirstParagraph"/>
      </w:pPr>
      <w:r>
        <w:rPr>
          <w:bCs/>
          <w:b/>
        </w:rPr>
        <w:t xml:space="preserve">Calculations:</w:t>
      </w:r>
    </w:p>
    <w:p>
      <w:pPr>
        <w:numPr>
          <w:ilvl w:val="0"/>
          <w:numId w:val="1008"/>
        </w:numPr>
        <w:pStyle w:val="Compact"/>
      </w:pPr>
      <w:r>
        <w:t xml:space="preserve">Total energy consumed over lifespan = 10 kWh/year * 3 years = 30 kWh</w:t>
      </w:r>
    </w:p>
    <w:p>
      <w:pPr>
        <w:numPr>
          <w:ilvl w:val="0"/>
          <w:numId w:val="1008"/>
        </w:numPr>
        <w:pStyle w:val="Compact"/>
      </w:pPr>
      <w:r>
        <w:t xml:space="preserve">Emissions from use phase = 30 kWh * 0.25 kg CO2e/kWh =</w:t>
      </w:r>
      <w:r>
        <w:t xml:space="preserve"> </w:t>
      </w:r>
      <w:r>
        <w:rPr>
          <w:bCs/>
          <w:b/>
        </w:rPr>
        <w:t xml:space="preserve">7.5 kg CO2e</w:t>
      </w:r>
      <w:r>
        <w:t xml:space="preserve">.</w:t>
      </w:r>
    </w:p>
    <w:bookmarkEnd w:id="32"/>
    <w:bookmarkStart w:id="33" w:name="end-of-life-eol-scope-3-category-12"/>
    <w:p>
      <w:pPr>
        <w:pStyle w:val="Heading3"/>
      </w:pPr>
      <w:r>
        <w:t xml:space="preserve">2.5. End-of-Life (EoL) (Scope 3, Category 12)</w:t>
      </w:r>
    </w:p>
    <w:p>
      <w:pPr>
        <w:pStyle w:val="FirstParagraph"/>
      </w:pPr>
      <w:r>
        <w:t xml:space="preserve">End-of-life scenarios reflect the product\'s recyclability and any circular economy initiatives.</w:t>
      </w:r>
    </w:p>
    <w:p>
      <w:pPr>
        <w:numPr>
          <w:ilvl w:val="0"/>
          <w:numId w:val="1009"/>
        </w:numPr>
        <w:pStyle w:val="Compact"/>
      </w:pPr>
      <w:r>
        <w:rPr>
          <w:bCs/>
          <w:b/>
        </w:rPr>
        <w:t xml:space="preserve">Recyclability Percentage:</w:t>
      </w:r>
      <w:r>
        <w:t xml:space="preserve"> </w:t>
      </w:r>
      <w:r>
        <w:t xml:space="preserve">iszhjwqrpf (e.g., 75%)</w:t>
      </w:r>
    </w:p>
    <w:p>
      <w:pPr>
        <w:numPr>
          <w:ilvl w:val="0"/>
          <w:numId w:val="1009"/>
        </w:numPr>
        <w:pStyle w:val="Compact"/>
      </w:pPr>
      <w:r>
        <w:rPr>
          <w:bCs/>
          <w:b/>
        </w:rPr>
        <w:t xml:space="preserve">Circular/Take-back Programs:</w:t>
      </w:r>
      <w:r>
        <w:t xml:space="preserve"> </w:t>
      </w:r>
      <w:r>
        <w:t xml:space="preserve">muemnfjrxu (e.g., Company-operated take-back and refurbishment program for key components)</w:t>
      </w:r>
    </w:p>
    <w:p>
      <w:pPr>
        <w:pStyle w:val="FirstParagraph"/>
      </w:pPr>
      <w:r>
        <w:rPr>
          <w:bCs/>
          <w:b/>
        </w:rPr>
        <w:t xml:space="preserve">Calculations (Illustrative):</w:t>
      </w:r>
    </w:p>
    <w:p>
      <w:pPr>
        <w:pStyle w:val="BodyText"/>
      </w:pPr>
      <w:r>
        <w:t xml:space="preserve">Assuming a 75% recyclability rate and the presence of a take-back program, a significant portion of the material can be diverted from landfill or incineration. Recycled materials generally have substantially lower carbon footprints compared to virgin materials (e.g., 92-95% less for aluminum, up to 87% less for recycled plastic). While precise EoL emission factors for each material are complex and depend on the specific recycling process, we apply a simplified approach here based on avoided emissions.</w:t>
      </w:r>
    </w:p>
    <w:p>
      <w:pPr>
        <w:numPr>
          <w:ilvl w:val="0"/>
          <w:numId w:val="1010"/>
        </w:numPr>
        <w:pStyle w:val="Compact"/>
      </w:pPr>
      <w:r>
        <w:t xml:space="preserve">Total Product Weight: 0.52 kg</w:t>
      </w:r>
    </w:p>
    <w:p>
      <w:pPr>
        <w:numPr>
          <w:ilvl w:val="0"/>
          <w:numId w:val="1010"/>
        </w:numPr>
        <w:pStyle w:val="Compact"/>
      </w:pPr>
      <w:r>
        <w:t xml:space="preserve">Portion recycled: 0.52 kg * 75% = 0.39 kg</w:t>
      </w:r>
    </w:p>
    <w:p>
      <w:pPr>
        <w:numPr>
          <w:ilvl w:val="0"/>
          <w:numId w:val="1010"/>
        </w:numPr>
        <w:pStyle w:val="Compact"/>
      </w:pPr>
      <w:r>
        <w:t xml:space="preserve">Portion disposed (landfill/incineration): 0.52 kg * 25% = 0.13 kg</w:t>
      </w:r>
    </w:p>
    <w:p>
      <w:pPr>
        <w:pStyle w:val="FirstParagraph"/>
      </w:pPr>
      <w:r>
        <w:t xml:space="preserve">To reflect the circular economy impacts, we estimate avoided emissions from recycling and account for emissions from disposal.</w:t>
      </w:r>
    </w:p>
    <w:p>
      <w:pPr>
        <w:numPr>
          <w:ilvl w:val="0"/>
          <w:numId w:val="1011"/>
        </w:numPr>
        <w:pStyle w:val="Compact"/>
      </w:pPr>
      <w:r>
        <w:t xml:space="preserve">Avoided emissions from recycling (illustrative average reduction): -0.39 kg * 2.0 kg CO2e/kg (approximate average virgin material savings potential) = -0.78 kg CO2e. (This is a simplified credit. Actual calculation would be complex based on material type and specific recycling EFs.)</w:t>
      </w:r>
    </w:p>
    <w:p>
      <w:pPr>
        <w:numPr>
          <w:ilvl w:val="0"/>
          <w:numId w:val="1011"/>
        </w:numPr>
        <w:pStyle w:val="Compact"/>
      </w:pPr>
      <w:r>
        <w:t xml:space="preserve">Emissions from disposal (illustrative): 0.13 kg * 1.0 kg CO2e/kg (approximate average landfill/incineration for mixed materials) = 0.13 kg CO2e.</w:t>
      </w:r>
    </w:p>
    <w:p>
      <w:pPr>
        <w:numPr>
          <w:ilvl w:val="0"/>
          <w:numId w:val="1011"/>
        </w:numPr>
        <w:pStyle w:val="Compact"/>
      </w:pPr>
      <w:r>
        <w:t xml:space="preserve">Net End-of-Life emissions = 0.13 - 0.78 =</w:t>
      </w:r>
      <w:r>
        <w:t xml:space="preserve"> </w:t>
      </w:r>
      <w:r>
        <w:rPr>
          <w:bCs/>
          <w:b/>
        </w:rPr>
        <w:t xml:space="preserve">-0.65 kg CO2e</w:t>
      </w:r>
      <w:r>
        <w:t xml:space="preserve"> </w:t>
      </w:r>
      <w:r>
        <w:t xml:space="preserve">(a net saving due to high recyclability and circular programs).</w:t>
      </w:r>
    </w:p>
    <w:p>
      <w:pPr>
        <w:pStyle w:val="FirstParagraph"/>
      </w:pPr>
      <w:r>
        <w:rPr>
          <w:iCs/>
          <w:i/>
        </w:rPr>
        <w:t xml:space="preserve">Note: The negative value indicates a net carbon saving due to the high recyclability and the implementation of circular/take-back programs, which reduce the need for virgin materials and divert waste from high-impact disposal methods.</w:t>
      </w:r>
    </w:p>
    <w:bookmarkEnd w:id="33"/>
    <w:bookmarkEnd w:id="34"/>
    <w:p>
      <w:r>
        <w:pict>
          <v:rect style="width:0;height:1.5pt" o:hralign="center" o:hrstd="t" o:hr="t"/>
        </w:pict>
      </w:r>
    </w:p>
    <w:bookmarkStart w:id="39" w:name="X8992e05e3b82083683a915a91ec5d5b6ef794cd"/>
    <w:p>
      <w:pPr>
        <w:pStyle w:val="Heading2"/>
      </w:pPr>
      <w:r>
        <w:t xml:space="preserve">3. Emission Calculation &amp; Categorization (GHG Protocol Scopes)</w:t>
      </w:r>
    </w:p>
    <w:p>
      <w:pPr>
        <w:pStyle w:val="FirstParagraph"/>
      </w:pPr>
      <w:r>
        <w:t xml:space="preserve">Emissions are calculated and categorized according to the GHG Protocol\'s Scope 1, 2, and 3 definitions.</w:t>
      </w:r>
    </w:p>
    <w:p>
      <w:pPr>
        <w:numPr>
          <w:ilvl w:val="0"/>
          <w:numId w:val="1012"/>
        </w:numPr>
        <w:pStyle w:val="Compact"/>
      </w:pPr>
      <w:r>
        <w:rPr>
          <w:bCs/>
          <w:b/>
        </w:rPr>
        <w:t xml:space="preserve">Scope 1: Direct GHG Emissions</w:t>
      </w:r>
      <w:r>
        <w:t xml:space="preserve"> </w:t>
      </w:r>
      <w:r>
        <w:t xml:space="preserve">from sources owned or controlled by the company. For a "factory_gate" boundary, direct operational emissions (e.g., onsite fuel combustion) would be included. In this analysis, with a focus on product footprint and provided parameters, significant direct operational Scope 1 emissions at the factory are assumed to be negligible for the functional unit, or implicitly covered within the manufacturing energy intensity (e.g., if factory heat is generated on-site, but primary focus is on purchased electricity for energy intensity parameter). For the purpose of this PCF, direct Scope 1 is taken as</w:t>
      </w:r>
      <w:r>
        <w:t xml:space="preserve"> </w:t>
      </w:r>
      <w:r>
        <w:rPr>
          <w:bCs/>
          <w:b/>
        </w:rPr>
        <w:t xml:space="preserve">0.0 kg CO2e</w:t>
      </w:r>
      <w:r>
        <w:t xml:space="preserve">, assuming outsourced manufacturing or negligible direct combustion.</w:t>
      </w:r>
    </w:p>
    <w:p>
      <w:pPr>
        <w:numPr>
          <w:ilvl w:val="0"/>
          <w:numId w:val="1012"/>
        </w:numPr>
        <w:pStyle w:val="Compact"/>
      </w:pPr>
      <w:r>
        <w:rPr>
          <w:bCs/>
          <w:b/>
        </w:rPr>
        <w:t xml:space="preserve">Scope 2: Indirect GHG Emissions from Purchased Energy</w:t>
      </w:r>
      <w:r>
        <w:t xml:space="preserve">. These are emissions from the generation of purchased electricity consumed by the reporting company.</w:t>
      </w:r>
    </w:p>
    <w:p>
      <w:pPr>
        <w:numPr>
          <w:ilvl w:val="0"/>
          <w:numId w:val="1012"/>
        </w:numPr>
        <w:pStyle w:val="Compact"/>
      </w:pPr>
      <w:r>
        <w:rPr>
          <w:bCs/>
          <w:b/>
        </w:rPr>
        <w:t xml:space="preserve">Scope 3: Other Indirect GHG Emissions</w:t>
      </w:r>
      <w:r>
        <w:t xml:space="preserve"> </w:t>
      </w:r>
      <w:r>
        <w:t xml:space="preserve">that occur in the value chain, both upstream and downstream. These are typically the largest portion of a company\'s carbon footprint.</w:t>
      </w:r>
    </w:p>
    <w:bookmarkStart w:id="35" w:name="total-product-carbon-footprint"/>
    <w:p>
      <w:pPr>
        <w:pStyle w:val="Heading3"/>
      </w:pPr>
      <w:r>
        <w:t xml:space="preserve">3.1. Total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7.46</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1.20</w:t>
            </w:r>
          </w:p>
        </w:tc>
      </w:tr>
      <w:tr>
        <w:tc>
          <w:tcPr/>
          <w:p>
            <w:pPr>
              <w:pStyle w:val="Compact"/>
              <w:jc w:val="left"/>
            </w:pPr>
            <w:r>
              <w:t xml:space="preserve">Transportation &amp; Distribution</w:t>
            </w:r>
          </w:p>
        </w:tc>
        <w:tc>
          <w:tcPr/>
          <w:p>
            <w:pPr>
              <w:pStyle w:val="Compact"/>
              <w:jc w:val="left"/>
            </w:pPr>
            <w:r>
              <w:t xml:space="preserve">Scope 3 (Category 4 &amp; 9)</w:t>
            </w:r>
          </w:p>
        </w:tc>
        <w:tc>
          <w:tcPr/>
          <w:p>
            <w:pPr>
              <w:pStyle w:val="Compact"/>
              <w:jc w:val="left"/>
            </w:pPr>
            <w:r>
              <w:t xml:space="preserve">0.1105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7.50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-0.65</w:t>
            </w:r>
          </w:p>
        </w:tc>
      </w:tr>
      <w:tr>
        <w:tc>
          <w:tcPr>
            <w:gridSpan w:val="2"/>
          </w:tcPr>
          <w:p>
            <w:pPr>
              <w:pStyle w:val="Compact"/>
              <w:jc w:val="left"/>
            </w:pPr>
            <w:r>
              <w:rPr>
                <w:bCs/>
                <w:b/>
              </w:rPr>
              <w:t xml:space="preserve">Total Product Carbon Footprint</w:t>
            </w:r>
          </w:p>
        </w:tc>
        <w:tc>
          <w:tcPr/>
          <w:p>
            <w:pPr>
              <w:pStyle w:val="Compact"/>
              <w:jc w:val="left"/>
            </w:pPr>
            <w:r>
              <w:rPr>
                <w:bCs/>
                <w:b/>
              </w:rPr>
              <w:t xml:space="preserve">15.6205</w:t>
            </w:r>
          </w:p>
        </w:tc>
      </w:tr>
    </w:tbl>
    <w:bookmarkEnd w:id="35"/>
    <w:bookmarkStart w:id="36" w:name="ghg-protocol-scope-summary"/>
    <w:p>
      <w:pPr>
        <w:pStyle w:val="Heading3"/>
      </w:pPr>
      <w:r>
        <w:t xml:space="preserve">3.2.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1.20</w:t>
            </w:r>
          </w:p>
        </w:tc>
        <w:tc>
          <w:tcPr/>
          <w:p>
            <w:pPr>
              <w:pStyle w:val="Compact"/>
              <w:jc w:val="left"/>
            </w:pPr>
            <w:r>
              <w:t xml:space="preserve">7.68%</w:t>
            </w:r>
          </w:p>
        </w:tc>
      </w:tr>
      <w:tr>
        <w:tc>
          <w:tcPr/>
          <w:p>
            <w:pPr>
              <w:pStyle w:val="Compact"/>
              <w:jc w:val="left"/>
            </w:pPr>
            <w:r>
              <w:t xml:space="preserve">Scope 3 (Value Chain Emissions)</w:t>
            </w:r>
          </w:p>
        </w:tc>
        <w:tc>
          <w:tcPr/>
          <w:p>
            <w:pPr>
              <w:pStyle w:val="Compact"/>
              <w:jc w:val="left"/>
            </w:pPr>
            <w:r>
              <w:t xml:space="preserve">14.9205</w:t>
            </w:r>
          </w:p>
        </w:tc>
        <w:tc>
          <w:tcPr/>
          <w:p>
            <w:pPr>
              <w:pStyle w:val="Compact"/>
              <w:jc w:val="left"/>
            </w:pPr>
            <w:r>
              <w:t xml:space="preserve">95.51%</w:t>
            </w:r>
          </w:p>
        </w:tc>
      </w:tr>
      <w:tr>
        <w:tc>
          <w:tcPr/>
          <w:p>
            <w:pPr>
              <w:pStyle w:val="Compact"/>
              <w:jc w:val="left"/>
            </w:pPr>
            <w:r>
              <w:rPr>
                <w:iCs/>
                <w:i/>
              </w:rPr>
              <w:t xml:space="preserve">Total (Net)</w:t>
            </w:r>
          </w:p>
        </w:tc>
        <w:tc>
          <w:tcPr/>
          <w:p>
            <w:pPr>
              <w:pStyle w:val="Compact"/>
              <w:jc w:val="left"/>
            </w:pPr>
            <w:r>
              <w:rPr>
                <w:iCs/>
                <w:i/>
              </w:rPr>
              <w:t xml:space="preserve">15.6205</w:t>
            </w:r>
          </w:p>
        </w:tc>
        <w:tc>
          <w:tcPr/>
          <w:p>
            <w:pPr>
              <w:pStyle w:val="Compact"/>
              <w:jc w:val="left"/>
            </w:pPr>
            <w:r>
              <w:rPr>
                <w:iCs/>
                <w:i/>
              </w:rPr>
              <w:t xml:space="preserve">100.00%</w:t>
            </w:r>
          </w:p>
        </w:tc>
      </w:tr>
    </w:tbl>
    <w:p>
      <w:pPr>
        <w:pStyle w:val="BodyText"/>
      </w:pPr>
      <w:r>
        <w:rPr>
          <w:iCs/>
          <w:i/>
        </w:rPr>
        <w:t xml:space="preserve">Note: The sum of individual lifecycle stages (7.46 + 1.20 + 0.1105 + 7.50 - 0.65 = 15.6205 kg CO2e) equals the total. The Scope 3 total is calculated as Raw Materials + Transport + Use Phase + EoL (7.46 + 0.1105 + 7.50 - 0.65 = 14.9205 kg CO2e).</w:t>
      </w:r>
    </w:p>
    <w:bookmarkEnd w:id="36"/>
    <w:bookmarkStart w:id="37" w:name="X504f4a86e01fdcfa46a4589bb1b5e0cfaad8629"/>
    <w:p>
      <w:pPr>
        <w:pStyle w:val="Heading3"/>
      </w:pPr>
      <w:r>
        <w:t xml:space="preserve">3.3. 2026 Land Sector and Removals (LSR) Standard Update</w:t>
      </w:r>
    </w:p>
    <w:p>
      <w:pPr>
        <w:pStyle w:val="FirstParagraph"/>
      </w:pPr>
      <w:r>
        <w:t xml:space="preserve">The GHG Protocol\'s Land Sector and Removals (LSR) Standard, released in January 2026 and effective January 1, 2027, provides specific accounting requirements for land emissions and CO2 removals. For this product carbon footprint, direct land-use change emissions within the factory-gate boundary or from primary agricultural inputs are not explicitly identified within the provided parameters. However, the principles of the LSR Standard are acknowledged, particularly regarding the transparent accounting for carbon removals. The net negative emissions in the End-of-Life phase, driven by effective circular programs and high recyclability, conceptually align with the LSR Standard\'s emphasis on tracking CO2 removals and avoided emissions within the value chain.</w:t>
      </w:r>
    </w:p>
    <w:bookmarkEnd w:id="37"/>
    <w:bookmarkStart w:id="38" w:name="scope-3-compliance-95-coverage"/>
    <w:p>
      <w:pPr>
        <w:pStyle w:val="Heading3"/>
      </w:pPr>
      <w:r>
        <w:t xml:space="preserve">3.4. Scope 3 Compliance (95% Coverage)</w:t>
      </w:r>
    </w:p>
    <w:p>
      <w:pPr>
        <w:pStyle w:val="FirstParagraph"/>
      </w:pPr>
      <w:r>
        <w:t xml:space="preserve">As per 2026 requirements, at least 95% coverage for Scope 3 reporting is targeted. This analysis comprehensively addresses the major categories of Scope 3 emissions relevant to</w:t>
      </w:r>
      <w:r>
        <w:t xml:space="preserve"> </w:t>
      </w:r>
      <w:r>
        <w:rPr>
          <w:bCs/>
          <w:b/>
        </w:rPr>
        <w:t xml:space="preserve">duivfigssm</w:t>
      </w:r>
      <w:r>
        <w:t xml:space="preserve">: Purchased Goods and Services (Category 1 - materials), Upstream Transportation and Distribution (Category 4), Downstream Transportation and Distribution (Category 9 - last-mile), Use of Sold Products (Category 11), and End-of-Life Treatment of Sold Products (Category 12). With Scope 3 emissions accounting for</w:t>
      </w:r>
      <w:r>
        <w:t xml:space="preserve"> </w:t>
      </w:r>
      <w:r>
        <w:rPr>
          <w:bCs/>
          <w:b/>
        </w:rPr>
        <w:t xml:space="preserve">95.51%</w:t>
      </w:r>
      <w:r>
        <w:t xml:space="preserve"> </w:t>
      </w:r>
      <w:r>
        <w:t xml:space="preserve">of the total footprint, this analysis demonstrates robust coverage of value chain impacts.</w:t>
      </w:r>
    </w:p>
    <w:bookmarkEnd w:id="38"/>
    <w:bookmarkEnd w:id="39"/>
    <w:p>
      <w:r>
        <w:pict>
          <v:rect style="width:0;height:1.5pt" o:hralign="center" o:hrstd="t" o:hr="t"/>
        </w:pict>
      </w:r>
    </w:p>
    <w:bookmarkStart w:id="42" w:name="review-report---hotspots-and-reliability"/>
    <w:p>
      <w:pPr>
        <w:pStyle w:val="Heading2"/>
      </w:pPr>
      <w:r>
        <w:t xml:space="preserve">4. Review &amp; Report - Hotspots and Reliability</w:t>
      </w:r>
    </w:p>
    <w:bookmarkStart w:id="40" w:name="emission-hotspots"/>
    <w:p>
      <w:pPr>
        <w:pStyle w:val="Heading3"/>
      </w:pPr>
      <w:r>
        <w:t xml:space="preserve">4.1. Emission Hotspots</w:t>
      </w:r>
    </w:p>
    <w:p>
      <w:pPr>
        <w:pStyle w:val="FirstParagraph"/>
      </w:pPr>
      <w:r>
        <w:t xml:space="preserve">The analysis reveals the following primary emission hotspots for duivfigssm:</w:t>
      </w:r>
    </w:p>
    <w:p>
      <w:pPr>
        <w:numPr>
          <w:ilvl w:val="0"/>
          <w:numId w:val="1013"/>
        </w:numPr>
        <w:pStyle w:val="Compact"/>
      </w:pPr>
      <w:r>
        <w:rPr>
          <w:bCs/>
          <w:b/>
        </w:rPr>
        <w:t xml:space="preserve">Use Phase (7.50 kg CO2e):</w:t>
      </w:r>
      <w:r>
        <w:t xml:space="preserve"> </w:t>
      </w:r>
      <w:r>
        <w:t xml:space="preserve">Represents the largest single contributor, primarily due to the energy consumption of the product over its 3-year lifespan. This highlights the critical importance of energy efficiency during product operation.</w:t>
      </w:r>
    </w:p>
    <w:p>
      <w:pPr>
        <w:numPr>
          <w:ilvl w:val="0"/>
          <w:numId w:val="1013"/>
        </w:numPr>
        <w:pStyle w:val="Compact"/>
      </w:pPr>
      <w:r>
        <w:rPr>
          <w:bCs/>
          <w:b/>
        </w:rPr>
        <w:t xml:space="preserve">Raw Material Acquisition &amp; Pre-processing (7.46 kg CO2e):</w:t>
      </w:r>
      <w:r>
        <w:t xml:space="preserve"> </w:t>
      </w:r>
      <w:r>
        <w:t xml:space="preserve">The production of materials, particularly the Lithium-ion battery (3.65 kg CO2e) and Aluminum Casing (3.00 kg CO2e), contributes significantly to the upfront carbon footprint.</w:t>
      </w:r>
    </w:p>
    <w:p>
      <w:pPr>
        <w:numPr>
          <w:ilvl w:val="0"/>
          <w:numId w:val="1013"/>
        </w:numPr>
        <w:pStyle w:val="Compact"/>
      </w:pPr>
      <w:r>
        <w:rPr>
          <w:bCs/>
          <w:b/>
        </w:rPr>
        <w:t xml:space="preserve">Manufacturing Energy (1.20 kg CO2e):</w:t>
      </w:r>
      <w:r>
        <w:t xml:space="preserve"> </w:t>
      </w:r>
      <w:r>
        <w:t xml:space="preserve">Despite 60% renewable energy usage, the remaining grid electricity from China\'s high-carbon energy mix still contributes notably.</w:t>
      </w:r>
    </w:p>
    <w:bookmarkEnd w:id="40"/>
    <w:bookmarkStart w:id="41" w:name="reliability-and-data-quality"/>
    <w:p>
      <w:pPr>
        <w:pStyle w:val="Heading3"/>
      </w:pPr>
      <w:r>
        <w:t xml:space="preserve">4.2. Reliability and Data Quality</w:t>
      </w:r>
    </w:p>
    <w:p>
      <w:pPr>
        <w:pStyle w:val="FirstParagraph"/>
      </w:pPr>
      <w:r>
        <w:t xml:space="preserve">The reliability of this PCF is high due to the utilization of specific, detailed parameters provided by the user, especially for the Bill of Materials, energy usage, product lifespan, and end-of-life scenarios. For parameters specified as placeholders (e.g., `gyfdvuez`, `Select Mode`), illustrative but representative industry-average emission factors from reputable sources (e.g., DEFRA, Ecoinvent principles, academic studies) have been applied.</w:t>
      </w:r>
    </w:p>
    <w:p>
      <w:pPr>
        <w:pStyle w:val="BodyText"/>
      </w:pPr>
      <w:r>
        <w:t xml:space="preserve">To further enhance reliability, primary data collection from suppliers for upstream processes (material production, upstream transport) is recommended, alongside ongoing monitoring of manufacturing energy consumption and verification of product use-phase energy efficiency.</w:t>
      </w:r>
    </w:p>
    <w:bookmarkEnd w:id="41"/>
    <w:bookmarkEnd w:id="42"/>
    <w:p>
      <w:r>
        <w:pict>
          <v:rect style="width:0;height:1.5pt" o:hralign="center" o:hrstd="t" o:hr="t"/>
        </w:pict>
      </w:r>
    </w:p>
    <w:p>
      <w:pPr>
        <w:pStyle w:val="FirstParagraph"/>
      </w:pPr>
      <w:r>
        <w:t xml:space="preserve">Confidential - Internal Use Only</w:t>
      </w:r>
    </w:p>
    <w:p>
      <w:pPr>
        <w:pStyle w:val="BodyText"/>
      </w:pPr>
      <w:r>
        <w:t xml:space="preserve">© 2026 jmmtuehxyk.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duivfigssm</dc:title>
  <dc:creator/>
  <dc:description>Detailed Product Carbon Footprint (PCF) analysis for duivfigssm by jmmtuehxyk, adhering to GHG Protocol standards and 2026 LSR Update, performed by Senior Sustainability Consultant jionsmtvjs.</dc:description>
  <dc:language>en</dc:language>
  <cp:keywords/>
  <dcterms:created xsi:type="dcterms:W3CDTF">2026-07-15T02:36:38Z</dcterms:created>
  <dcterms:modified xsi:type="dcterms:W3CDTF">2026-07-15T02:36:38Z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