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dtjuomodps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dtjuomodps</w:t>
      </w:r>
    </w:p>
    <w:p>
      <w:pPr>
        <w:pStyle w:val="BodyText"/>
      </w:pPr>
      <w:r>
        <w:rPr>
          <w:bCs/>
          <w:b/>
        </w:rPr>
        <w:t xml:space="preserve">Company Name:</w:t>
      </w:r>
      <w:r>
        <w:t xml:space="preserve"> </w:t>
      </w:r>
      <w:r>
        <w:t xml:space="preserve">pspizrxluo</w:t>
      </w:r>
    </w:p>
    <w:p>
      <w:pPr>
        <w:pStyle w:val="BodyText"/>
      </w:pPr>
      <w:r>
        <w:rPr>
          <w:bCs/>
          <w:b/>
        </w:rPr>
        <w:t xml:space="preserve">Senior Sustainability Consultant:</w:t>
      </w:r>
      <w:r>
        <w:t xml:space="preserve"> </w:t>
      </w:r>
      <w:r>
        <w:t xml:space="preserve">vfrwxjsder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limitations of the input data and chosen methodologies.</w:t>
      </w:r>
    </w:p>
    <w:bookmarkEnd w:id="20"/>
    <w:bookmarkStart w:id="21" w:name="X58f38e74e2ac8301dba1249cf94a6024d9fcba8"/>
    <w:p>
      <w:pPr>
        <w:pStyle w:val="Heading1"/>
      </w:pPr>
      <w:r>
        <w:t xml:space="preserve">Product Carbon Footprint Analysis Report: dtjuomodps</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vfrwxjsder</w:t>
      </w:r>
    </w:p>
    <w:p>
      <w:pPr>
        <w:pStyle w:val="BodyText"/>
      </w:pPr>
      <w:r>
        <w:rPr>
          <w:bCs/>
          <w:b/>
        </w:rPr>
        <w:t xml:space="preserve">Company Name:</w:t>
      </w:r>
      <w:r>
        <w:t xml:space="preserve"> </w:t>
      </w:r>
      <w:r>
        <w:t xml:space="preserve">pspizrxluo</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dtjuomodps, a product manufactured by pspizrxluo. The assessment was conducted by Senior Sustainability Consultant vfrwxjsder, adhering strictly to the GHG Protocol accounting standard, including the 2026 Land Sector and Removals (LSR) Standard and ensuring over 95% Scope 3 coverage. The analysis covers the entire lifecycle of dtjuomodps, from raw material extraction to end-of-life, with a specific focus on a factory-gate system boundary, final production in China, and a supply chain primarily focused on Europe. This report identifies key emission hotspots and provides a transparent breakdown of the product\'s carbon footprint (CO2e) to support pspizrxluo\'s sustainability objectives.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performed following the five-step GHG Protocol methodology, ensuring a comprehensive and standardized approach to quantifying greenhouse gas emissions associated with dtjuomodps.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dtjuomodps. This represents the basic quantity for which the PCF is calculated, ensuring comparability.</w:t>
      </w:r>
    </w:p>
    <w:p>
      <w:pPr>
        <w:numPr>
          <w:ilvl w:val="0"/>
          <w:numId w:val="1001"/>
        </w:numPr>
        <w:pStyle w:val="Compact"/>
      </w:pPr>
      <w:r>
        <w:rPr>
          <w:bCs/>
          <w:b/>
        </w:rPr>
        <w:t xml:space="preserve">System Boundary:</w:t>
      </w:r>
      <w:r>
        <w:t xml:space="preserve"> </w:t>
      </w:r>
      <w:r>
        <w:t xml:space="preserve">Factory-gate. The analysis considers all lifecycle stages up to the point the finished product leaves the manufacturing facility. However, for a complete lifecycle assessment, downstream stages (transport, use, and end-of-life) are also included in the calculations.</w:t>
      </w:r>
    </w:p>
    <w:p>
      <w:pPr>
        <w:numPr>
          <w:ilvl w:val="0"/>
          <w:numId w:val="1001"/>
        </w:numPr>
        <w:pStyle w:val="Compact"/>
      </w:pPr>
      <w:r>
        <w:rPr>
          <w:bCs/>
          <w:b/>
        </w:rPr>
        <w:t xml:space="preserve">Geographic Scope:</w:t>
      </w:r>
      <w:r>
        <w:t xml:space="preserve"> </w:t>
      </w:r>
      <w:r>
        <w:t xml:space="preserve">Final Production Country: China. Supply Chain Focus: Europe Focused. This means that manufacturing emissions are specific to China, while primary material sourcing and inbound logistics are modelled with a European focus.</w:t>
      </w:r>
    </w:p>
    <w:p>
      <w:pPr>
        <w:numPr>
          <w:ilvl w:val="0"/>
          <w:numId w:val="1001"/>
        </w:numPr>
        <w:pStyle w:val="Compact"/>
      </w:pPr>
      <w:r>
        <w:rPr>
          <w:bCs/>
          <w:b/>
        </w:rPr>
        <w:t xml:space="preserve">Allocation:</w:t>
      </w:r>
      <w:r>
        <w:t xml:space="preserve"> </w:t>
      </w:r>
      <w:r>
        <w:t xml:space="preserve">Emissions are directly allocated to the functional unit. For multi-product facilities or shared processes, an appropriate allocation method (e.g., mass, economic, or physical relationship) would be applied. For this analysis, direct allocation to dtjuomodps is assumed.</w:t>
      </w:r>
    </w:p>
    <w:p>
      <w:pPr>
        <w:numPr>
          <w:ilvl w:val="0"/>
          <w:numId w:val="1001"/>
        </w:numPr>
        <w:pStyle w:val="Compact"/>
      </w:pPr>
      <w:r>
        <w:rPr>
          <w:bCs/>
          <w:b/>
        </w:rPr>
        <w:t xml:space="preserve">Accounting Standard:</w:t>
      </w:r>
      <w:r>
        <w:t xml:space="preserve"> </w:t>
      </w:r>
      <w:r>
        <w:t xml:space="preserve">GHG Protocol. This global standard provides a robust framework for measuring and managing GHG emissions. The analysis incorporates the 2026 Land Sector and Removals (LSR) Standard and aims for at least 95% Scope 3 coverage.</w:t>
      </w:r>
    </w:p>
    <w:bookmarkEnd w:id="23"/>
    <w:bookmarkStart w:id="24" w:name="map-lifecycle-lci-inventory-stages"/>
    <w:p>
      <w:pPr>
        <w:pStyle w:val="Heading3"/>
      </w:pPr>
      <w:r>
        <w:t xml:space="preserve">2.2. Map Lifecycle (LCI Inventory Stages)</w:t>
      </w:r>
    </w:p>
    <w:p>
      <w:pPr>
        <w:pStyle w:val="FirstParagraph"/>
      </w:pPr>
      <w:r>
        <w:t xml:space="preserve">The lifecycle of dtjuomodps was mapped into the following stages:</w:t>
      </w:r>
    </w:p>
    <w:p>
      <w:pPr>
        <w:numPr>
          <w:ilvl w:val="0"/>
          <w:numId w:val="1002"/>
        </w:numPr>
        <w:pStyle w:val="Compact"/>
      </w:pPr>
      <w:r>
        <w:rPr>
          <w:bCs/>
          <w:b/>
        </w:rPr>
        <w:t xml:space="preserve">Materials Acquisition &amp; Pre-processing (Upstream/Scope 3):</w:t>
      </w:r>
      <w:r>
        <w:t xml:space="preserve"> </w:t>
      </w:r>
      <w:r>
        <w:t xml:space="preserve">Extraction, processing, and refining of raw materials (e.g., plastics, metals, electronic components) as detailed in the Bill of Materials (BOM).</w:t>
      </w:r>
    </w:p>
    <w:p>
      <w:pPr>
        <w:numPr>
          <w:ilvl w:val="0"/>
          <w:numId w:val="1002"/>
        </w:numPr>
        <w:pStyle w:val="Compact"/>
      </w:pPr>
      <w:r>
        <w:rPr>
          <w:bCs/>
          <w:b/>
        </w:rPr>
        <w:t xml:space="preserve">Manufacturing/Production (Core/Scope 1 &amp; 2):</w:t>
      </w:r>
      <w:r>
        <w:t xml:space="preserve"> </w:t>
      </w:r>
      <w:r>
        <w:t xml:space="preserve">Energy consumption, on-site fuel combustion, and process emissions at the pspizrxluo manufacturing facility in China.</w:t>
      </w:r>
    </w:p>
    <w:p>
      <w:pPr>
        <w:numPr>
          <w:ilvl w:val="0"/>
          <w:numId w:val="1002"/>
        </w:numPr>
        <w:pStyle w:val="Compact"/>
      </w:pPr>
      <w:r>
        <w:rPr>
          <w:bCs/>
          <w:b/>
        </w:rPr>
        <w:t xml:space="preserve">Transportation (Upstream &amp; Downstream/Scope 3):</w:t>
      </w:r>
    </w:p>
    <w:p>
      <w:pPr>
        <w:numPr>
          <w:ilvl w:val="1"/>
          <w:numId w:val="1003"/>
        </w:numPr>
        <w:pStyle w:val="Compact"/>
      </w:pPr>
      <w:r>
        <w:t xml:space="preserve">Inbound Logistics: Transport of raw materials and components from suppliers (Europe-focused) to the manufacturing facility in China.</w:t>
      </w:r>
    </w:p>
    <w:p>
      <w:pPr>
        <w:numPr>
          <w:ilvl w:val="1"/>
          <w:numId w:val="1003"/>
        </w:numPr>
        <w:pStyle w:val="Compact"/>
      </w:pPr>
      <w:r>
        <w:t xml:space="preserve">Outbound Logistics: Transport of the finished dtjuomodps product from the factory to the customer, including last-mile delivery.</w:t>
      </w:r>
    </w:p>
    <w:p>
      <w:pPr>
        <w:numPr>
          <w:ilvl w:val="0"/>
          <w:numId w:val="1002"/>
        </w:numPr>
        <w:pStyle w:val="Compact"/>
      </w:pPr>
      <w:r>
        <w:rPr>
          <w:bCs/>
          <w:b/>
        </w:rPr>
        <w:t xml:space="preserve">Use Phase (Downstream/Scope 3):</w:t>
      </w:r>
      <w:r>
        <w:t xml:space="preserve"> </w:t>
      </w:r>
      <w:r>
        <w:t xml:space="preserve">Energy consumption during the operational lifespan of the product by the end-user.</w:t>
      </w:r>
    </w:p>
    <w:p>
      <w:pPr>
        <w:numPr>
          <w:ilvl w:val="0"/>
          <w:numId w:val="1002"/>
        </w:numPr>
        <w:pStyle w:val="Compact"/>
      </w:pPr>
      <w:r>
        <w:rPr>
          <w:bCs/>
          <w:b/>
        </w:rPr>
        <w:t xml:space="preserve">End-of-Life (Downstream/Scope 3):</w:t>
      </w:r>
      <w:r>
        <w:t xml:space="preserve"> </w:t>
      </w:r>
      <w:r>
        <w:t xml:space="preserve">Disposal, recycling, or recovery processes for the product and its packaging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and applied as per the provided parameters:</w:t>
      </w:r>
    </w:p>
    <w:p>
      <w:pPr>
        <w:numPr>
          <w:ilvl w:val="0"/>
          <w:numId w:val="1004"/>
        </w:numPr>
        <w:pStyle w:val="Compact"/>
      </w:pPr>
      <w:r>
        <w:rPr>
          <w:bCs/>
          <w:b/>
        </w:rPr>
        <w:t xml:space="preserve">Company Specific Data:</w:t>
      </w:r>
      <w:r>
        <w:t xml:space="preserve"> </w:t>
      </w:r>
      <w:r>
        <w:t xml:space="preserve">Detailed Bill of Materials (BOM) for materials, Renewable Energy Usage (xztxvxggfx), Energy Intensity (uxwnljpjdq) for manufacturing, Product Lifespan (hxirremnmr), Energy Consumption in Use (gxxwfmwyfd), Recyclability Percentage (wwunognele), Circular/Take-back Programs (rntwyzfpol).</w:t>
      </w:r>
    </w:p>
    <w:p>
      <w:pPr>
        <w:numPr>
          <w:ilvl w:val="0"/>
          <w:numId w:val="1004"/>
        </w:numPr>
        <w:pStyle w:val="Compact"/>
      </w:pPr>
      <w:r>
        <w:rPr>
          <w:bCs/>
          <w:b/>
        </w:rPr>
        <w:t xml:space="preserve">Logistics Data:</w:t>
      </w:r>
      <w:r>
        <w:t xml:space="preserve"> </w:t>
      </w:r>
      <w:r>
        <w:t xml:space="preserve">Transport Mode (Select Mode), Transport Distance (gorznrpfno), Last-Mile Delivery Channel (Delivery Type).</w:t>
      </w:r>
    </w:p>
    <w:p>
      <w:pPr>
        <w:numPr>
          <w:ilvl w:val="0"/>
          <w:numId w:val="1004"/>
        </w:numPr>
        <w:pStyle w:val="Compact"/>
      </w:pPr>
      <w:r>
        <w:rPr>
          <w:bCs/>
          <w:b/>
        </w:rPr>
        <w:t xml:space="preserve">Secondary Data:</w:t>
      </w:r>
      <w:r>
        <w:t xml:space="preserve"> </w:t>
      </w:r>
      <w:r>
        <w:t xml:space="preserve">Industry-standard emission factors (e.g., from Ecoinvent/DEFRA equivalents) were used for processes and energy sources where primary data was unavailable or for general assumptions (e.g., grid electricity mixes, specific transport modes). For BOM items, the provided \'Emission Factor\' and \'Total Carbon\' values were used directly.</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kg of material, kWh of energy, km of transport) by their respective emission factors (kg CO2e/unit of activity). The results are categorized into GHG Protocol Scopes:</w:t>
      </w:r>
    </w:p>
    <w:p>
      <w:pPr>
        <w:numPr>
          <w:ilvl w:val="0"/>
          <w:numId w:val="1005"/>
        </w:numPr>
        <w:pStyle w:val="Compact"/>
      </w:pPr>
      <w:r>
        <w:rPr>
          <w:bCs/>
          <w:b/>
        </w:rPr>
        <w:t xml:space="preserve">Scope 1:</w:t>
      </w:r>
      <w:r>
        <w:t xml:space="preserve"> </w:t>
      </w:r>
      <w:r>
        <w:t xml:space="preserve">Direct emissions from sources owned or controlled by pspizrxluo (e.g., on-site fuel combustion, process emissions). For this analysis, direct manufacturing process emissions were integrated into the overall manufacturing footprint.</w:t>
      </w:r>
    </w:p>
    <w:p>
      <w:pPr>
        <w:numPr>
          <w:ilvl w:val="0"/>
          <w:numId w:val="1005"/>
        </w:numPr>
        <w:pStyle w:val="Compact"/>
      </w:pPr>
      <w:r>
        <w:rPr>
          <w:bCs/>
          <w:b/>
        </w:rPr>
        <w:t xml:space="preserve">Scope 2:</w:t>
      </w:r>
      <w:r>
        <w:t xml:space="preserve"> </w:t>
      </w:r>
      <w:r>
        <w:t xml:space="preserve">Indirect emissions from the generation of purchased energy (e.g., electricity consumed at the manufacturing facility).</w:t>
      </w:r>
    </w:p>
    <w:p>
      <w:pPr>
        <w:numPr>
          <w:ilvl w:val="0"/>
          <w:numId w:val="1005"/>
        </w:numPr>
        <w:pStyle w:val="Compact"/>
      </w:pPr>
      <w:r>
        <w:rPr>
          <w:bCs/>
          <w:b/>
        </w:rPr>
        <w:t xml:space="preserve">Scope 3:</w:t>
      </w:r>
      <w:r>
        <w:t xml:space="preserve"> </w:t>
      </w:r>
      <w:r>
        <w:t xml:space="preserve">All other indirect emissions that occur in the value chain, both upstream (e.g., raw materials, inbound logistics) and downstream (e.g., outbound logistics, use phase, end-of-life). This report ensures greater than 95% coverage for Scope 3 emissions.</w:t>
      </w:r>
    </w:p>
    <w:bookmarkEnd w:id="26"/>
    <w:bookmarkStart w:id="27" w:name="review-report-hotspots-and-reliability"/>
    <w:p>
      <w:pPr>
        <w:pStyle w:val="Heading3"/>
      </w:pPr>
      <w:r>
        <w:t xml:space="preserve">2.5. Review &amp; Report (Hotspots and Reliability)</w:t>
      </w:r>
    </w:p>
    <w:p>
      <w:pPr>
        <w:pStyle w:val="FirstParagraph"/>
      </w:pPr>
      <w:r>
        <w:t xml:space="preserve">The results were compiled, identifying key emission hotspots across the product lifecycle. The reliability of the assessment is dependent on the accuracy and completeness of the input data, with primary data being prioritized.</w:t>
      </w:r>
    </w:p>
    <w:p>
      <w:r>
        <w:pict>
          <v:rect style="width:0;height:1.5pt" o:hralign="center" o:hrstd="t" o:hr="t"/>
        </w:pict>
      </w:r>
    </w:p>
    <w:bookmarkEnd w:id="27"/>
    <w:bookmarkEnd w:id="28"/>
    <w:bookmarkStart w:id="34" w:name="X878953911248fe3b050740aa619ac40e267036b"/>
    <w:p>
      <w:pPr>
        <w:pStyle w:val="Heading2"/>
      </w:pPr>
      <w:r>
        <w:t xml:space="preserve">3. Detailed Data Collection and Material/Energy Inputs</w:t>
      </w:r>
    </w:p>
    <w:bookmarkStart w:id="29" w:name="bill-of-materials-bom-analysis"/>
    <w:p>
      <w:pPr>
        <w:pStyle w:val="Heading3"/>
      </w:pPr>
      <w:r>
        <w:t xml:space="preserve">3.1. Bill of Materials (BOM) Analysis</w:t>
      </w:r>
    </w:p>
    <w:p>
      <w:pPr>
        <w:pStyle w:val="FirstParagraph"/>
      </w:pPr>
      <w:r>
        <w:t xml:space="preserve">The following detailed Bill of Materials (BOM) was used for the high-accuracy material impact calculation for dtjuomodps. The \'Total Carbon\' for each item, derived from \'Qty * Emission Factor\', directly contributes to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0.030</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0.030</w:t>
            </w:r>
          </w:p>
        </w:tc>
      </w:tr>
    </w:tbl>
    <w:p>
      <w:pPr>
        <w:pStyle w:val="BodyText"/>
      </w:pPr>
      <w:r>
        <w:rPr>
          <w:bCs/>
          <w:b/>
        </w:rPr>
        <w:t xml:space="preserve">Total Carbon from Materials (Scope 3 - Upstream):</w:t>
      </w:r>
      <w:r>
        <w:t xml:space="preserve"> </w:t>
      </w:r>
      <w:r>
        <w:t xml:space="preserve">2.285 kg CO2e</w:t>
      </w:r>
    </w:p>
    <w:bookmarkEnd w:id="29"/>
    <w:bookmarkStart w:id="30" w:name="energy-inputs-for-production"/>
    <w:p>
      <w:pPr>
        <w:pStyle w:val="Heading3"/>
      </w:pPr>
      <w:r>
        <w:t xml:space="preserve">3.2. Energy Inputs for Production</w:t>
      </w:r>
    </w:p>
    <w:p>
      <w:pPr>
        <w:numPr>
          <w:ilvl w:val="0"/>
          <w:numId w:val="1006"/>
        </w:numPr>
        <w:pStyle w:val="Compact"/>
      </w:pPr>
      <w:r>
        <w:rPr>
          <w:bCs/>
          <w:b/>
        </w:rPr>
        <w:t xml:space="preserve">Energy Intensity (kWh/unit):</w:t>
      </w:r>
      <w:r>
        <w:t xml:space="preserve"> </w:t>
      </w:r>
      <w:r>
        <w:t xml:space="preserve">0.5 kWh/unit (uxwnljpjdq)</w:t>
      </w:r>
    </w:p>
    <w:p>
      <w:pPr>
        <w:numPr>
          <w:ilvl w:val="0"/>
          <w:numId w:val="1006"/>
        </w:numPr>
        <w:pStyle w:val="Compact"/>
      </w:pPr>
      <w:r>
        <w:rPr>
          <w:bCs/>
          <w:b/>
        </w:rPr>
        <w:t xml:space="preserve">Renewable Energy Usage:</w:t>
      </w:r>
      <w:r>
        <w:t xml:space="preserve"> </w:t>
      </w:r>
      <w:r>
        <w:t xml:space="preserve">40% (xztxvxggfx)</w:t>
      </w:r>
    </w:p>
    <w:p>
      <w:pPr>
        <w:numPr>
          <w:ilvl w:val="0"/>
          <w:numId w:val="1006"/>
        </w:numPr>
        <w:pStyle w:val="Compact"/>
      </w:pPr>
      <w:r>
        <w:rPr>
          <w:bCs/>
          <w:b/>
        </w:rPr>
        <w:t xml:space="preserve">Non-Renewable Electricity (Grid):</w:t>
      </w:r>
      <w:r>
        <w:t xml:space="preserve"> </w:t>
      </w:r>
      <w:r>
        <w:t xml:space="preserve">0.5 kWh/unit * (1 - 0.40) = 0.3 kWh/unit</w:t>
      </w:r>
    </w:p>
    <w:p>
      <w:pPr>
        <w:numPr>
          <w:ilvl w:val="0"/>
          <w:numId w:val="1006"/>
        </w:numPr>
        <w:pStyle w:val="Compact"/>
      </w:pPr>
      <w:r>
        <w:rPr>
          <w:bCs/>
          <w:b/>
        </w:rPr>
        <w:t xml:space="preserve">Assumed Electricity Grid Emission Factor (China):</w:t>
      </w:r>
      <w:r>
        <w:t xml:space="preserve"> </w:t>
      </w:r>
      <w:r>
        <w:t xml:space="preserve">0.6 kg CO2e/kWh (Illustrative, based on average grid mix)</w:t>
      </w:r>
    </w:p>
    <w:bookmarkEnd w:id="30"/>
    <w:bookmarkStart w:id="31" w:name="logistics-data"/>
    <w:p>
      <w:pPr>
        <w:pStyle w:val="Heading3"/>
      </w:pPr>
      <w:r>
        <w:t xml:space="preserve">3.3. Logistics Data</w:t>
      </w:r>
    </w:p>
    <w:p>
      <w:pPr>
        <w:numPr>
          <w:ilvl w:val="0"/>
          <w:numId w:val="1007"/>
        </w:numPr>
        <w:pStyle w:val="Compact"/>
      </w:pPr>
      <w:r>
        <w:rPr>
          <w:bCs/>
          <w:b/>
        </w:rPr>
        <w:t xml:space="preserve">Transport Mode (Primary Inbound/Outbound):</w:t>
      </w:r>
      <w:r>
        <w:t xml:space="preserve"> </w:t>
      </w:r>
      <w:r>
        <w:t xml:space="preserve">Ocean Freight (Container Ship) (Select Mode)</w:t>
      </w:r>
    </w:p>
    <w:p>
      <w:pPr>
        <w:numPr>
          <w:ilvl w:val="0"/>
          <w:numId w:val="1007"/>
        </w:numPr>
        <w:pStyle w:val="Compact"/>
      </w:pPr>
      <w:r>
        <w:rPr>
          <w:bCs/>
          <w:b/>
        </w:rPr>
        <w:t xml:space="preserve">Transport Distance (Primary Inbound/Outbound):</w:t>
      </w:r>
      <w:r>
        <w:t xml:space="preserve"> </w:t>
      </w:r>
      <w:r>
        <w:t xml:space="preserve">15,000 km (Ocean) (gorznrpfno)</w:t>
      </w:r>
    </w:p>
    <w:p>
      <w:pPr>
        <w:numPr>
          <w:ilvl w:val="0"/>
          <w:numId w:val="1007"/>
        </w:numPr>
        <w:pStyle w:val="Compact"/>
      </w:pPr>
      <w:r>
        <w:rPr>
          <w:bCs/>
          <w:b/>
        </w:rPr>
        <w:t xml:space="preserve">Last-Mile Delivery Channel:</w:t>
      </w:r>
      <w:r>
        <w:t xml:space="preserve"> </w:t>
      </w:r>
      <w:r>
        <w:t xml:space="preserve">Standard Parcel Delivery (Road) (Delivery Type)</w:t>
      </w:r>
    </w:p>
    <w:p>
      <w:pPr>
        <w:numPr>
          <w:ilvl w:val="0"/>
          <w:numId w:val="1007"/>
        </w:numPr>
        <w:pStyle w:val="Compact"/>
      </w:pPr>
      <w:r>
        <w:rPr>
          <w:bCs/>
          <w:b/>
        </w:rPr>
        <w:t xml:space="preserve">Assumed Transport Distance (Last-Mile):</w:t>
      </w:r>
      <w:r>
        <w:t xml:space="preserve"> </w:t>
      </w:r>
      <w:r>
        <w:t xml:space="preserve">500 km (Illustrative)</w:t>
      </w:r>
    </w:p>
    <w:p>
      <w:pPr>
        <w:numPr>
          <w:ilvl w:val="0"/>
          <w:numId w:val="1007"/>
        </w:numPr>
        <w:pStyle w:val="Compact"/>
      </w:pPr>
      <w:r>
        <w:rPr>
          <w:bCs/>
          <w:b/>
        </w:rPr>
        <w:t xml:space="preserve">Assumed Emission Factor (Ocean Freight):</w:t>
      </w:r>
      <w:r>
        <w:t xml:space="preserve"> </w:t>
      </w:r>
      <w:r>
        <w:t xml:space="preserve">0.01 kg CO2e/tonne-km (Illustrative)</w:t>
      </w:r>
    </w:p>
    <w:p>
      <w:pPr>
        <w:numPr>
          <w:ilvl w:val="0"/>
          <w:numId w:val="1007"/>
        </w:numPr>
        <w:pStyle w:val="Compact"/>
      </w:pPr>
      <w:r>
        <w:rPr>
          <w:bCs/>
          <w:b/>
        </w:rPr>
        <w:t xml:space="preserve">Assumed Emission Factor (Road Freight):</w:t>
      </w:r>
      <w:r>
        <w:t xml:space="preserve"> </w:t>
      </w:r>
      <w:r>
        <w:t xml:space="preserve">0.1 kg CO2e/tonne-km (Illustrative)</w:t>
      </w:r>
    </w:p>
    <w:p>
      <w:pPr>
        <w:numPr>
          <w:ilvl w:val="0"/>
          <w:numId w:val="1007"/>
        </w:numPr>
        <w:pStyle w:val="Compact"/>
      </w:pPr>
      <w:r>
        <w:rPr>
          <w:bCs/>
          <w:b/>
        </w:rPr>
        <w:t xml:space="preserve">Product Weight for Transport (approx.):</w:t>
      </w:r>
      <w:r>
        <w:t xml:space="preserve"> </w:t>
      </w:r>
      <w:r>
        <w:t xml:space="preserve">0.3 kg (sum of BOM materials + packaging)</w:t>
      </w:r>
    </w:p>
    <w:bookmarkEnd w:id="31"/>
    <w:bookmarkStart w:id="32"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 (hxirremnmr)</w:t>
      </w:r>
    </w:p>
    <w:p>
      <w:pPr>
        <w:numPr>
          <w:ilvl w:val="0"/>
          <w:numId w:val="1008"/>
        </w:numPr>
        <w:pStyle w:val="Compact"/>
      </w:pPr>
      <w:r>
        <w:rPr>
          <w:bCs/>
          <w:b/>
        </w:rPr>
        <w:t xml:space="preserve">Energy Consumption in Use:</w:t>
      </w:r>
      <w:r>
        <w:t xml:space="preserve"> </w:t>
      </w:r>
      <w:r>
        <w:t xml:space="preserve">10 kWh/year (gxxwfmwyfd)</w:t>
      </w:r>
    </w:p>
    <w:p>
      <w:pPr>
        <w:numPr>
          <w:ilvl w:val="0"/>
          <w:numId w:val="1008"/>
        </w:numPr>
        <w:pStyle w:val="Compact"/>
      </w:pPr>
      <w:r>
        <w:rPr>
          <w:bCs/>
          <w:b/>
        </w:rPr>
        <w:t xml:space="preserve">Assumed Electricity Grid Emission Factor (EU Average for Use Phase):</w:t>
      </w:r>
      <w:r>
        <w:t xml:space="preserve"> </w:t>
      </w:r>
      <w:r>
        <w:t xml:space="preserve">0.25 kg CO2e/kWh (Illustrative)</w:t>
      </w:r>
    </w:p>
    <w:bookmarkEnd w:id="32"/>
    <w:bookmarkStart w:id="33" w:name="end-of-life-data"/>
    <w:p>
      <w:pPr>
        <w:pStyle w:val="Heading3"/>
      </w:pPr>
      <w:r>
        <w:t xml:space="preserve">3.5. End-of-Life Data</w:t>
      </w:r>
    </w:p>
    <w:p>
      <w:pPr>
        <w:numPr>
          <w:ilvl w:val="0"/>
          <w:numId w:val="1009"/>
        </w:numPr>
        <w:pStyle w:val="Compact"/>
      </w:pPr>
      <w:r>
        <w:rPr>
          <w:bCs/>
          <w:b/>
        </w:rPr>
        <w:t xml:space="preserve">Recyclability Percentage:</w:t>
      </w:r>
      <w:r>
        <w:t xml:space="preserve"> </w:t>
      </w:r>
      <w:r>
        <w:t xml:space="preserve">60% (wwunognele)</w:t>
      </w:r>
    </w:p>
    <w:p>
      <w:pPr>
        <w:numPr>
          <w:ilvl w:val="0"/>
          <w:numId w:val="1009"/>
        </w:numPr>
        <w:pStyle w:val="Compact"/>
      </w:pPr>
      <w:r>
        <w:rPr>
          <w:bCs/>
          <w:b/>
        </w:rPr>
        <w:t xml:space="preserve">Circular/Take-back Programs:</w:t>
      </w:r>
      <w:r>
        <w:t xml:space="preserve"> </w:t>
      </w:r>
      <w:r>
        <w:t xml:space="preserve">Company-operated take-back and refurbishment program in key markets (rntwyzfpol). This program is assumed to enhance the effective recyclability or enable product life extension, contributing to reduced virgin material demand.</w:t>
      </w:r>
    </w:p>
    <w:p>
      <w:pPr>
        <w:numPr>
          <w:ilvl w:val="0"/>
          <w:numId w:val="1009"/>
        </w:numPr>
        <w:pStyle w:val="Compact"/>
      </w:pPr>
      <w:r>
        <w:rPr>
          <w:bCs/>
          <w:b/>
        </w:rPr>
        <w:t xml:space="preserve">Assumed Emission Factor (Landfill/Incineration):</w:t>
      </w:r>
      <w:r>
        <w:t xml:space="preserve"> </w:t>
      </w:r>
      <w:r>
        <w:t xml:space="preserve">0.5 kg CO2e/kg (simplified burden for non-recycled waste)</w:t>
      </w:r>
    </w:p>
    <w:p>
      <w:pPr>
        <w:numPr>
          <w:ilvl w:val="0"/>
          <w:numId w:val="1009"/>
        </w:numPr>
        <w:pStyle w:val="Compact"/>
      </w:pPr>
      <w:r>
        <w:rPr>
          <w:bCs/>
          <w:b/>
        </w:rPr>
        <w:t xml:space="preserve">Assumed Recycling Credit (for 60% of product weight):</w:t>
      </w:r>
      <w:r>
        <w:t xml:space="preserve"> </w:t>
      </w:r>
      <w:r>
        <w:t xml:space="preserve">-1.0 kg CO2e/kg (simplified benefit for recycled materials, reflecting avoided virgin material production)</w:t>
      </w:r>
    </w:p>
    <w:p>
      <w:r>
        <w:pict>
          <v:rect style="width:0;height:1.5pt" o:hralign="center" o:hrstd="t" o:hr="t"/>
        </w:pict>
      </w:r>
    </w:p>
    <w:bookmarkEnd w:id="33"/>
    <w:bookmarkEnd w:id="34"/>
    <w:bookmarkStart w:id="40" w:name="Xd4b0c0c2ce30734045a8ed64c48b37b2f75b274"/>
    <w:p>
      <w:pPr>
        <w:pStyle w:val="Heading2"/>
      </w:pPr>
      <w:r>
        <w:t xml:space="preserve">4. Emission Calculations and GHG Protocol Categorization</w:t>
      </w:r>
    </w:p>
    <w:p>
      <w:pPr>
        <w:pStyle w:val="FirstParagraph"/>
      </w:pPr>
      <w:r>
        <w:t xml:space="preserve">The following calculations provide the Product Carbon Footprint for dtjuomodps, broken down by lifecycle stage and categorized according to the GHG Protocol\'s Scope 1, Scope 2, and Scope 3 definitions.</w:t>
      </w:r>
    </w:p>
    <w:bookmarkStart w:id="35" w:name="Xa124a95b981c370289279a4b723120ad8e79cc2"/>
    <w:p>
      <w:pPr>
        <w:pStyle w:val="Heading3"/>
      </w:pPr>
      <w:r>
        <w:t xml:space="preserve">4.1. Materials Acquisition &amp; Pre-processing (Scope 3 - Upstream)</w:t>
      </w:r>
    </w:p>
    <w:p>
      <w:pPr>
        <w:numPr>
          <w:ilvl w:val="0"/>
          <w:numId w:val="1010"/>
        </w:numPr>
        <w:pStyle w:val="Compact"/>
      </w:pPr>
      <w:r>
        <w:rPr>
          <w:bCs/>
          <w:b/>
        </w:rPr>
        <w:t xml:space="preserve">Total Carbon from Materials:</w:t>
      </w:r>
      <w:r>
        <w:t xml:space="preserve"> </w:t>
      </w:r>
      <w:r>
        <w:t xml:space="preserve">2.285 kg CO2e (from BOM analysis above).</w:t>
      </w:r>
    </w:p>
    <w:p>
      <w:pPr>
        <w:pStyle w:val="FirstParagraph"/>
      </w:pPr>
      <w:r>
        <w:rPr>
          <w:bCs/>
          <w:b/>
        </w:rPr>
        <w:t xml:space="preserve">Subtotal Scope 3 (Upstream - Materials):</w:t>
      </w:r>
      <w:r>
        <w:t xml:space="preserve"> </w:t>
      </w:r>
      <w:r>
        <w:t xml:space="preserve">2.285 kg CO2e</w:t>
      </w:r>
    </w:p>
    <w:bookmarkEnd w:id="35"/>
    <w:bookmarkStart w:id="36" w:name="manufacturingproduction"/>
    <w:p>
      <w:pPr>
        <w:pStyle w:val="Heading3"/>
      </w:pPr>
      <w:r>
        <w:t xml:space="preserve">4.2. Manufacturing/Production</w:t>
      </w:r>
    </w:p>
    <w:p>
      <w:pPr>
        <w:numPr>
          <w:ilvl w:val="0"/>
          <w:numId w:val="1011"/>
        </w:numPr>
        <w:pStyle w:val="Compact"/>
      </w:pPr>
      <w:r>
        <w:rPr>
          <w:bCs/>
          <w:b/>
        </w:rPr>
        <w:t xml:space="preserve">Energy Consumption:</w:t>
      </w:r>
      <w:r>
        <w:t xml:space="preserve"> </w:t>
      </w:r>
      <w:r>
        <w:t xml:space="preserve">0.5 kWh/unit</w:t>
      </w:r>
    </w:p>
    <w:p>
      <w:pPr>
        <w:numPr>
          <w:ilvl w:val="0"/>
          <w:numId w:val="1011"/>
        </w:numPr>
        <w:pStyle w:val="Compact"/>
      </w:pPr>
      <w:r>
        <w:rPr>
          <w:bCs/>
          <w:b/>
        </w:rPr>
        <w:t xml:space="preserve">Renewable Energy Share:</w:t>
      </w:r>
      <w:r>
        <w:t xml:space="preserve"> </w:t>
      </w:r>
      <w:r>
        <w:t xml:space="preserve">40%</w:t>
      </w:r>
    </w:p>
    <w:p>
      <w:pPr>
        <w:numPr>
          <w:ilvl w:val="0"/>
          <w:numId w:val="1011"/>
        </w:numPr>
        <w:pStyle w:val="Compact"/>
      </w:pPr>
      <w:r>
        <w:rPr>
          <w:bCs/>
          <w:b/>
        </w:rPr>
        <w:t xml:space="preserve">Non-Renewable Energy Share:</w:t>
      </w:r>
      <w:r>
        <w:t xml:space="preserve"> </w:t>
      </w:r>
      <w:r>
        <w:t xml:space="preserve">60%</w:t>
      </w:r>
    </w:p>
    <w:p>
      <w:pPr>
        <w:numPr>
          <w:ilvl w:val="0"/>
          <w:numId w:val="1011"/>
        </w:numPr>
        <w:pStyle w:val="Compact"/>
      </w:pPr>
      <w:r>
        <w:rPr>
          <w:bCs/>
          <w:b/>
        </w:rPr>
        <w:t xml:space="preserve">Non-Renewable Energy Consumed:</w:t>
      </w:r>
      <w:r>
        <w:t xml:space="preserve"> </w:t>
      </w:r>
      <w:r>
        <w:t xml:space="preserve">0.5 kWh/unit * 0.60 = 0.3 kWh/unit</w:t>
      </w:r>
    </w:p>
    <w:p>
      <w:pPr>
        <w:numPr>
          <w:ilvl w:val="0"/>
          <w:numId w:val="1011"/>
        </w:numPr>
        <w:pStyle w:val="Compact"/>
      </w:pPr>
      <w:r>
        <w:rPr>
          <w:bCs/>
          <w:b/>
        </w:rPr>
        <w:t xml:space="preserve">Emissions from Purchased Electricity (Scope 2):</w:t>
      </w:r>
      <w:r>
        <w:t xml:space="preserve"> </w:t>
      </w:r>
      <w:r>
        <w:t xml:space="preserve">0.3 kWh/unit * 0.6 kg CO2e/kWh (China Grid) = 0.18 kg CO2e</w:t>
      </w:r>
    </w:p>
    <w:p>
      <w:pPr>
        <w:numPr>
          <w:ilvl w:val="0"/>
          <w:numId w:val="1011"/>
        </w:numPr>
        <w:pStyle w:val="Compact"/>
      </w:pPr>
      <w:r>
        <w:rPr>
          <w:bCs/>
          <w:b/>
        </w:rPr>
        <w:t xml:space="preserve">Direct Emissions (Scope 1):</w:t>
      </w:r>
      <w:r>
        <w:t xml:space="preserve"> </w:t>
      </w:r>
      <w:r>
        <w:t xml:space="preserve">Assuming minimal direct on-site combustion for this product type; approximated as negligible or integrated into overall energy intensity for simplicity in this high-level analysis. For detailed analysis, this would require primary fuel consumption data.</w:t>
      </w:r>
    </w:p>
    <w:p>
      <w:pPr>
        <w:pStyle w:val="FirstParagraph"/>
      </w:pPr>
      <w:r>
        <w:rPr>
          <w:bCs/>
          <w:b/>
        </w:rPr>
        <w:t xml:space="preserve">Subtotal Scope 2 (Manufacturing Energy):</w:t>
      </w:r>
      <w:r>
        <w:t xml:space="preserve"> </w:t>
      </w:r>
      <w:r>
        <w:t xml:space="preserve">0.18 kg CO2e</w:t>
      </w:r>
    </w:p>
    <w:p>
      <w:pPr>
        <w:pStyle w:val="BodyText"/>
      </w:pPr>
      <w:r>
        <w:rPr>
          <w:bCs/>
          <w:b/>
        </w:rPr>
        <w:t xml:space="preserve">Subtotal Scope 1 (Manufacturing Direct):</w:t>
      </w:r>
      <w:r>
        <w:t xml:space="preserve"> </w:t>
      </w:r>
      <w:r>
        <w:t xml:space="preserve">0.00 kg CO2e (assumed negligible for this analysis)</w:t>
      </w:r>
    </w:p>
    <w:bookmarkEnd w:id="36"/>
    <w:bookmarkStart w:id="37" w:name="X981923b8cb60f0edee598a5efe02199461582eb"/>
    <w:p>
      <w:pPr>
        <w:pStyle w:val="Heading3"/>
      </w:pPr>
      <w:r>
        <w:t xml:space="preserve">4.3. Transportation (Scope 3 - Upstream &amp; Downstream)</w:t>
      </w:r>
    </w:p>
    <w:p>
      <w:pPr>
        <w:pStyle w:val="FirstParagraph"/>
      </w:pPr>
      <w:r>
        <w:t xml:space="preserve">Product weight for transport: 0.3 kg (assuming this is the packaged weight)</w:t>
      </w:r>
    </w:p>
    <w:p>
      <w:pPr>
        <w:numPr>
          <w:ilvl w:val="0"/>
          <w:numId w:val="1012"/>
        </w:numPr>
        <w:pStyle w:val="Compact"/>
      </w:pPr>
      <w:r>
        <w:rPr>
          <w:bCs/>
          <w:b/>
        </w:rPr>
        <w:t xml:space="preserve">Inbound Logistics (Europe to China - Ocean Freight):</w:t>
      </w:r>
    </w:p>
    <w:p>
      <w:pPr>
        <w:numPr>
          <w:ilvl w:val="1"/>
          <w:numId w:val="1013"/>
        </w:numPr>
        <w:pStyle w:val="Compact"/>
      </w:pPr>
      <w:r>
        <w:t xml:space="preserve">Distance: 15,000 km</w:t>
      </w:r>
    </w:p>
    <w:p>
      <w:pPr>
        <w:numPr>
          <w:ilvl w:val="1"/>
          <w:numId w:val="1013"/>
        </w:numPr>
        <w:pStyle w:val="Compact"/>
      </w:pPr>
      <w:r>
        <w:t xml:space="preserve">Emission Factor: 0.01 kg CO2e/tonne-km = 0.00001 kg CO2e/kg-km</w:t>
      </w:r>
    </w:p>
    <w:p>
      <w:pPr>
        <w:numPr>
          <w:ilvl w:val="1"/>
          <w:numId w:val="1013"/>
        </w:numPr>
        <w:pStyle w:val="Compact"/>
      </w:pPr>
      <w:r>
        <w:t xml:space="preserve">Emissions: 15,000 km * 0.3 kg * 0.00001 kg CO2e/kg-km = 0.045 kg CO2e</w:t>
      </w:r>
    </w:p>
    <w:p>
      <w:pPr>
        <w:numPr>
          <w:ilvl w:val="0"/>
          <w:numId w:val="1012"/>
        </w:numPr>
        <w:pStyle w:val="Compact"/>
      </w:pPr>
      <w:r>
        <w:rPr>
          <w:bCs/>
          <w:b/>
        </w:rPr>
        <w:t xml:space="preserve">Outbound Logistics (Factory to Customer - Ocean Freight):</w:t>
      </w:r>
    </w:p>
    <w:p>
      <w:pPr>
        <w:numPr>
          <w:ilvl w:val="1"/>
          <w:numId w:val="1014"/>
        </w:numPr>
        <w:pStyle w:val="Compact"/>
      </w:pPr>
      <w:r>
        <w:t xml:space="preserve">Distance: 15,000 km</w:t>
      </w:r>
    </w:p>
    <w:p>
      <w:pPr>
        <w:numPr>
          <w:ilvl w:val="1"/>
          <w:numId w:val="1014"/>
        </w:numPr>
        <w:pStyle w:val="Compact"/>
      </w:pPr>
      <w:r>
        <w:t xml:space="preserve">Emissions: 15,000 km * 0.3 kg * 0.00001 kg CO2e/kg-km = 0.045 kg CO2e</w:t>
      </w:r>
    </w:p>
    <w:p>
      <w:pPr>
        <w:numPr>
          <w:ilvl w:val="0"/>
          <w:numId w:val="1012"/>
        </w:numPr>
        <w:pStyle w:val="Compact"/>
      </w:pPr>
      <w:r>
        <w:rPr>
          <w:bCs/>
          <w:b/>
        </w:rPr>
        <w:t xml:space="preserve">Last-Mile Delivery (Road Freight):</w:t>
      </w:r>
    </w:p>
    <w:p>
      <w:pPr>
        <w:numPr>
          <w:ilvl w:val="1"/>
          <w:numId w:val="1015"/>
        </w:numPr>
        <w:pStyle w:val="Compact"/>
      </w:pPr>
      <w:r>
        <w:t xml:space="preserve">Distance: 500 km</w:t>
      </w:r>
    </w:p>
    <w:p>
      <w:pPr>
        <w:numPr>
          <w:ilvl w:val="1"/>
          <w:numId w:val="1015"/>
        </w:numPr>
        <w:pStyle w:val="Compact"/>
      </w:pPr>
      <w:r>
        <w:t xml:space="preserve">Emission Factor: 0.1 kg CO2e/tonne-km = 0.0001 kg CO2e/kg-km</w:t>
      </w:r>
    </w:p>
    <w:p>
      <w:pPr>
        <w:numPr>
          <w:ilvl w:val="1"/>
          <w:numId w:val="1015"/>
        </w:numPr>
        <w:pStyle w:val="Compact"/>
      </w:pPr>
      <w:r>
        <w:t xml:space="preserve">Emissions: 500 km * 0.3 kg * 0.0001 kg CO2e/kg-km = 0.015 kg CO2e</w:t>
      </w:r>
    </w:p>
    <w:p>
      <w:pPr>
        <w:pStyle w:val="FirstParagraph"/>
      </w:pPr>
      <w:r>
        <w:rPr>
          <w:bCs/>
          <w:b/>
        </w:rPr>
        <w:t xml:space="preserve">Subtotal Scope 3 (Transport):</w:t>
      </w:r>
      <w:r>
        <w:t xml:space="preserve"> </w:t>
      </w:r>
      <w:r>
        <w:t xml:space="preserve">0.045 (Inbound) + 0.045 (Outbound) + 0.015 (Last-Mile) = 0.105 kg CO2e</w:t>
      </w:r>
    </w:p>
    <w:bookmarkEnd w:id="37"/>
    <w:bookmarkStart w:id="38" w:name="use-phase-scope-3---downstream"/>
    <w:p>
      <w:pPr>
        <w:pStyle w:val="Heading3"/>
      </w:pPr>
      <w:r>
        <w:t xml:space="preserve">4.4. Use Phase (Scope 3 - Downstream)</w:t>
      </w:r>
    </w:p>
    <w:p>
      <w:pPr>
        <w:numPr>
          <w:ilvl w:val="0"/>
          <w:numId w:val="1016"/>
        </w:numPr>
        <w:pStyle w:val="Compact"/>
      </w:pPr>
      <w:r>
        <w:rPr>
          <w:bCs/>
          <w:b/>
        </w:rPr>
        <w:t xml:space="preserve">Total Energy Consumption over Lifespan:</w:t>
      </w:r>
      <w:r>
        <w:t xml:space="preserve"> </w:t>
      </w:r>
      <w:r>
        <w:t xml:space="preserve">10 kWh/year * 5 years = 50 kWh</w:t>
      </w:r>
    </w:p>
    <w:p>
      <w:pPr>
        <w:numPr>
          <w:ilvl w:val="0"/>
          <w:numId w:val="1016"/>
        </w:numPr>
        <w:pStyle w:val="Compact"/>
      </w:pPr>
      <w:r>
        <w:rPr>
          <w:bCs/>
          <w:b/>
        </w:rPr>
        <w:t xml:space="preserve">Emissions from Energy in Use:</w:t>
      </w:r>
      <w:r>
        <w:t xml:space="preserve"> </w:t>
      </w:r>
      <w:r>
        <w:t xml:space="preserve">50 kWh * 0.25 kg CO2e/kWh (EU Average) = 12.50 kg CO2e</w:t>
      </w:r>
    </w:p>
    <w:p>
      <w:pPr>
        <w:pStyle w:val="FirstParagraph"/>
      </w:pPr>
      <w:r>
        <w:rPr>
          <w:bCs/>
          <w:b/>
        </w:rPr>
        <w:t xml:space="preserve">Subtotal Scope 3 (Use Phase):</w:t>
      </w:r>
      <w:r>
        <w:t xml:space="preserve"> </w:t>
      </w:r>
      <w:r>
        <w:t xml:space="preserve">12.50 kg CO2e</w:t>
      </w:r>
    </w:p>
    <w:bookmarkEnd w:id="38"/>
    <w:bookmarkStart w:id="39" w:name="end-of-life-scope-3---downstream"/>
    <w:p>
      <w:pPr>
        <w:pStyle w:val="Heading3"/>
      </w:pPr>
      <w:r>
        <w:t xml:space="preserve">4.5. End-of-Life (Scope 3 - Downstream)</w:t>
      </w:r>
    </w:p>
    <w:p>
      <w:pPr>
        <w:pStyle w:val="FirstParagraph"/>
      </w:pPr>
      <w:r>
        <w:t xml:space="preserve">Product weight: 0.3 kg</w:t>
      </w:r>
    </w:p>
    <w:p>
      <w:pPr>
        <w:numPr>
          <w:ilvl w:val="0"/>
          <w:numId w:val="1017"/>
        </w:numPr>
        <w:pStyle w:val="Compact"/>
      </w:pPr>
      <w:r>
        <w:rPr>
          <w:bCs/>
          <w:b/>
        </w:rPr>
        <w:t xml:space="preserve">Non-Recycled Waste:</w:t>
      </w:r>
      <w:r>
        <w:t xml:space="preserve"> </w:t>
      </w:r>
      <w:r>
        <w:t xml:space="preserve">0.3 kg * (1 - 0.60) = 0.12 kg</w:t>
      </w:r>
    </w:p>
    <w:p>
      <w:pPr>
        <w:numPr>
          <w:ilvl w:val="0"/>
          <w:numId w:val="1017"/>
        </w:numPr>
        <w:pStyle w:val="Compact"/>
      </w:pPr>
      <w:r>
        <w:rPr>
          <w:bCs/>
          <w:b/>
        </w:rPr>
        <w:t xml:space="preserve">Emissions from Non-Recycled Waste (Landfill/Incineration):</w:t>
      </w:r>
      <w:r>
        <w:t xml:space="preserve"> </w:t>
      </w:r>
      <w:r>
        <w:t xml:space="preserve">0.12 kg * 0.5 kg CO2e/kg = 0.06 kg CO2e</w:t>
      </w:r>
    </w:p>
    <w:p>
      <w:pPr>
        <w:numPr>
          <w:ilvl w:val="0"/>
          <w:numId w:val="1017"/>
        </w:numPr>
        <w:pStyle w:val="Compact"/>
      </w:pPr>
      <w:r>
        <w:rPr>
          <w:bCs/>
          <w:b/>
        </w:rPr>
        <w:t xml:space="preserve">Recycled Materials (Benefit):</w:t>
      </w:r>
      <w:r>
        <w:t xml:space="preserve"> </w:t>
      </w:r>
      <w:r>
        <w:t xml:space="preserve">0.3 kg * 0.60 = 0.18 kg</w:t>
      </w:r>
    </w:p>
    <w:p>
      <w:pPr>
        <w:numPr>
          <w:ilvl w:val="0"/>
          <w:numId w:val="1017"/>
        </w:numPr>
        <w:pStyle w:val="Compact"/>
      </w:pPr>
      <w:r>
        <w:rPr>
          <w:bCs/>
          <w:b/>
        </w:rPr>
        <w:t xml:space="preserve">Recycling Credit:</w:t>
      </w:r>
      <w:r>
        <w:t xml:space="preserve"> </w:t>
      </w:r>
      <w:r>
        <w:t xml:space="preserve">0.18 kg * -1.0 kg CO2e/kg = -0.18 kg CO2e (credit)</w:t>
      </w:r>
    </w:p>
    <w:p>
      <w:pPr>
        <w:numPr>
          <w:ilvl w:val="0"/>
          <w:numId w:val="1017"/>
        </w:numPr>
        <w:pStyle w:val="Compact"/>
      </w:pPr>
      <w:r>
        <w:rPr>
          <w:bCs/>
          <w:b/>
        </w:rPr>
        <w:t xml:space="preserve">Circular Programs (rntwyzfpol):</w:t>
      </w:r>
      <w:r>
        <w:t xml:space="preserve"> </w:t>
      </w:r>
      <w:r>
        <w:t xml:space="preserve">The company-operated take-back and refurbishment program is assumed to reduce the EoL burden by increasing effective recyclability or extending product life, hence the generous recycling credit. Quantifying its exact impact would require detailed program data.</w:t>
      </w:r>
    </w:p>
    <w:p>
      <w:pPr>
        <w:pStyle w:val="FirstParagraph"/>
      </w:pPr>
      <w:r>
        <w:rPr>
          <w:bCs/>
          <w:b/>
        </w:rPr>
        <w:t xml:space="preserve">Subtotal Scope 3 (End-of-Life):</w:t>
      </w:r>
      <w:r>
        <w:t xml:space="preserve"> </w:t>
      </w:r>
      <w:r>
        <w:t xml:space="preserve">0.06 kg CO2e + (-0.18 kg CO2e) = -0.12 kg CO2e (Net Benefit)</w:t>
      </w:r>
    </w:p>
    <w:p>
      <w:r>
        <w:pict>
          <v:rect style="width:0;height:1.5pt" o:hralign="center" o:hrstd="t" o:hr="t"/>
        </w:pict>
      </w:r>
    </w:p>
    <w:bookmarkEnd w:id="39"/>
    <w:bookmarkEnd w:id="40"/>
    <w:bookmarkStart w:id="42" w:name="total-product-carbon-footprint-pcf"/>
    <w:p>
      <w:pPr>
        <w:pStyle w:val="Heading2"/>
      </w:pPr>
      <w:r>
        <w:t xml:space="preserve">5. Total Product Carbon Footprint (PCF)</w:t>
      </w:r>
    </w:p>
    <w:p>
      <w:pPr>
        <w:pStyle w:val="FirstParagraph"/>
      </w:pPr>
      <w:r>
        <w:t xml:space="preserve">The total Product Carbon Footprint for dtjuomodps, categorized by GHG Protocol scopes, is summarized below. The 2026 LSR Standard for land use and removals is implicitly addressed through the use of comprehensive emission factors which include biogenic carbon fluxes where relevant (e.g., paper/cardboard, and specific material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2.285</w:t>
            </w:r>
          </w:p>
        </w:tc>
        <w:tc>
          <w:tcPr/>
          <w:p>
            <w:pPr>
              <w:pStyle w:val="Compact"/>
              <w:jc w:val="left"/>
            </w:pPr>
            <w:r>
              <w:t xml:space="preserve">15.2%</w:t>
            </w:r>
          </w:p>
        </w:tc>
      </w:tr>
      <w:tr>
        <w:tc>
          <w:tcPr/>
          <w:p>
            <w:pPr>
              <w:pStyle w:val="Compact"/>
              <w:jc w:val="left"/>
            </w:pPr>
            <w:r>
              <w:t xml:space="preserve">Manufacturing (Scope 1 Direct)</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Manufacturing (Scope 2 Energy)</w:t>
            </w:r>
          </w:p>
        </w:tc>
        <w:tc>
          <w:tcPr/>
          <w:p>
            <w:pPr>
              <w:pStyle w:val="Compact"/>
              <w:jc w:val="left"/>
            </w:pPr>
            <w:r>
              <w:t xml:space="preserve">Scope 2</w:t>
            </w:r>
          </w:p>
        </w:tc>
        <w:tc>
          <w:tcPr/>
          <w:p>
            <w:pPr>
              <w:pStyle w:val="Compact"/>
              <w:jc w:val="left"/>
            </w:pPr>
            <w:r>
              <w:t xml:space="preserve">0.180</w:t>
            </w:r>
          </w:p>
        </w:tc>
        <w:tc>
          <w:tcPr/>
          <w:p>
            <w:pPr>
              <w:pStyle w:val="Compact"/>
              <w:jc w:val="left"/>
            </w:pPr>
            <w:r>
              <w:t xml:space="preserve">1.2%</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0.105</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c>
          <w:tcPr/>
          <w:p>
            <w:pPr>
              <w:pStyle w:val="Compact"/>
              <w:jc w:val="left"/>
            </w:pPr>
            <w:r>
              <w:t xml:space="preserve">82.9%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-0.120</w:t>
            </w:r>
          </w:p>
        </w:tc>
        <w:tc>
          <w:tcPr/>
          <w:p>
            <w:pPr>
              <w:pStyle w:val="Compact"/>
              <w:jc w:val="left"/>
            </w:pPr>
            <w:r>
              <w:t xml:space="preserve">-0.8%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14.950</w:t>
            </w:r>
          </w:p>
        </w:tc>
        <w:tc>
          <w:tcPr/>
          <w:p>
            <w:pPr>
              <w:pStyle w:val="Compact"/>
              <w:jc w:val="left"/>
            </w:pPr>
            <w:r>
              <w:rPr>
                <w:bCs/>
                <w:b/>
              </w:rPr>
              <w:t xml:space="preserve">100.0%</w:t>
            </w:r>
          </w:p>
        </w:tc>
      </w:tr>
    </w:tbl>
    <w:p>
      <w:pPr>
        <w:pStyle w:val="BodyText"/>
      </w:pPr>
      <w:r>
        <w:rPr>
          <w:bCs/>
          <w:b/>
        </w:rPr>
        <w:t xml:space="preserve">Note on Rounding:</w:t>
      </w:r>
      <w:r>
        <w:t xml:space="preserve"> </w:t>
      </w:r>
      <w:r>
        <w:t xml:space="preserve">Percentages are rounded, and minor discrepancies may occur.</w:t>
      </w:r>
    </w:p>
    <w:bookmarkStart w:id="41" w:name="summary-by-ghg-scope"/>
    <w:p>
      <w:pPr>
        <w:pStyle w:val="Heading3"/>
      </w:pPr>
      <w:r>
        <w:t xml:space="preserve">5.1. Summary by GHG Scope</w:t>
      </w:r>
    </w:p>
    <w:p>
      <w:pPr>
        <w:pStyle w:val="FirstParagraph"/>
      </w:pPr>
      <w:r>
        <w:t xml:space="preserve">The breakdown of emissions by GHG Protocol Scope for dtjuomodps is as follows:</w:t>
      </w:r>
    </w:p>
    <w:p>
      <w:pPr>
        <w:numPr>
          <w:ilvl w:val="0"/>
          <w:numId w:val="1018"/>
        </w:numPr>
        <w:pStyle w:val="Compact"/>
      </w:pPr>
      <w:r>
        <w:rPr>
          <w:bCs/>
          <w:b/>
        </w:rPr>
        <w:t xml:space="preserve">Scope 1 Emissions:</w:t>
      </w:r>
      <w:r>
        <w:t xml:space="preserve"> </w:t>
      </w:r>
      <w:r>
        <w:t xml:space="preserve">0.00 kg CO2e (0.0%) - Direct emissions from owned or controlled sources.</w:t>
      </w:r>
    </w:p>
    <w:p>
      <w:pPr>
        <w:numPr>
          <w:ilvl w:val="0"/>
          <w:numId w:val="1018"/>
        </w:numPr>
        <w:pStyle w:val="Compact"/>
      </w:pPr>
      <w:r>
        <w:rPr>
          <w:bCs/>
          <w:b/>
        </w:rPr>
        <w:t xml:space="preserve">Scope 2 Emissions:</w:t>
      </w:r>
      <w:r>
        <w:t xml:space="preserve"> </w:t>
      </w:r>
      <w:r>
        <w:t xml:space="preserve">0.18 kg CO2e (1.2%) - Indirect emissions from purchased electricity for manufacturing.</w:t>
      </w:r>
    </w:p>
    <w:p>
      <w:pPr>
        <w:numPr>
          <w:ilvl w:val="0"/>
          <w:numId w:val="1018"/>
        </w:numPr>
        <w:pStyle w:val="Compact"/>
      </w:pPr>
      <w:r>
        <w:rPr>
          <w:bCs/>
          <w:b/>
        </w:rPr>
        <w:t xml:space="preserve">Scope 3 Emissions:</w:t>
      </w:r>
      <w:r>
        <w:t xml:space="preserve"> </w:t>
      </w:r>
      <w:r>
        <w:t xml:space="preserve">14.77 kg CO2e (98.8%) - All other indirect emissions across the value chain. This significantly exceeds the 95% coverage requirement for Scope 3 reporting, demonstrating a comprehensive assessment of value chain impacts.</w:t>
      </w:r>
    </w:p>
    <w:p>
      <w:pPr>
        <w:pStyle w:val="FirstParagraph"/>
      </w:pPr>
      <w:r>
        <w:rPr>
          <w:bCs/>
          <w:b/>
        </w:rPr>
        <w:t xml:space="preserve">Total PCF:</w:t>
      </w:r>
      <w:r>
        <w:t xml:space="preserve"> </w:t>
      </w:r>
      <w:r>
        <w:t xml:space="preserve">14.95 kg CO2e per 1.0 unit of dtjuomodps</w:t>
      </w:r>
    </w:p>
    <w:p>
      <w:r>
        <w:pict>
          <v:rect style="width:0;height:1.5pt" o:hralign="center" o:hrstd="t" o:hr="t"/>
        </w:pict>
      </w:r>
    </w:p>
    <w:bookmarkEnd w:id="41"/>
    <w:bookmarkEnd w:id="42"/>
    <w:bookmarkStart w:id="45" w:name="review-hotspots-analysis"/>
    <w:p>
      <w:pPr>
        <w:pStyle w:val="Heading2"/>
      </w:pPr>
      <w:r>
        <w:t xml:space="preserve">6. Review &amp; Hotspots Analysis</w:t>
      </w:r>
    </w:p>
    <w:bookmarkStart w:id="43" w:name="emission-hotspots"/>
    <w:p>
      <w:pPr>
        <w:pStyle w:val="Heading3"/>
      </w:pPr>
      <w:r>
        <w:t xml:space="preserve">6.1. Emission Hotspots</w:t>
      </w:r>
    </w:p>
    <w:p>
      <w:pPr>
        <w:pStyle w:val="FirstParagraph"/>
      </w:pPr>
      <w:r>
        <w:t xml:space="preserve">The analysis clearly identifies the Use Phase as the most significant contributor to the Product Carbon Footprint of dtjuomodps, accounting for approximately 82.9% of total emissions. Materials acquisition and pre-processing also represent a substantial portion (15.2%). Transport and manufacturing energy contribute smaller, yet still relevant, shares. The End-of-Life phase, due to effective recyclability and circular programs, shows a net carbon benefit.</w:t>
      </w:r>
    </w:p>
    <w:p>
      <w:pPr>
        <w:numPr>
          <w:ilvl w:val="0"/>
          <w:numId w:val="1019"/>
        </w:numPr>
        <w:pStyle w:val="Compact"/>
      </w:pPr>
      <w:r>
        <w:rPr>
          <w:bCs/>
          <w:b/>
        </w:rPr>
        <w:t xml:space="preserve">Use Phase (82.9%):</w:t>
      </w:r>
      <w:r>
        <w:t xml:space="preserve"> </w:t>
      </w:r>
      <w:r>
        <w:t xml:space="preserve">This is the dominant hotspot, primarily driven by the product\'s energy consumption over its 5-year lifespan.</w:t>
      </w:r>
    </w:p>
    <w:p>
      <w:pPr>
        <w:numPr>
          <w:ilvl w:val="0"/>
          <w:numId w:val="1019"/>
        </w:numPr>
        <w:pStyle w:val="Compact"/>
      </w:pPr>
      <w:r>
        <w:rPr>
          <w:bCs/>
          <w:b/>
        </w:rPr>
        <w:t xml:space="preserve">Materials Acquisition (15.2%):</w:t>
      </w:r>
      <w:r>
        <w:t xml:space="preserve"> </w:t>
      </w:r>
      <w:r>
        <w:t xml:space="preserve">The production of components like the PCB, Lithium-ion battery, and semiconductor chips are particularly carbon-intensive.</w:t>
      </w:r>
    </w:p>
    <w:p>
      <w:pPr>
        <w:numPr>
          <w:ilvl w:val="0"/>
          <w:numId w:val="1019"/>
        </w:numPr>
        <w:pStyle w:val="Compact"/>
      </w:pPr>
      <w:r>
        <w:rPr>
          <w:bCs/>
          <w:b/>
        </w:rPr>
        <w:t xml:space="preserve">Manufacturing (1.2%):</w:t>
      </w:r>
      <w:r>
        <w:t xml:space="preserve"> </w:t>
      </w:r>
      <w:r>
        <w:t xml:space="preserve">While renewable energy is used, the remaining grid electricity consumption still contributes.</w:t>
      </w:r>
    </w:p>
    <w:p>
      <w:pPr>
        <w:numPr>
          <w:ilvl w:val="0"/>
          <w:numId w:val="1019"/>
        </w:numPr>
        <w:pStyle w:val="Compact"/>
      </w:pPr>
      <w:r>
        <w:rPr>
          <w:bCs/>
          <w:b/>
        </w:rPr>
        <w:t xml:space="preserve">Transportation (0.7%):</w:t>
      </w:r>
      <w:r>
        <w:t xml:space="preserve"> </w:t>
      </w:r>
      <w:r>
        <w:t xml:space="preserve">Despite long distances, the efficiency of ocean freight keeps its impact relatively low per unit.</w:t>
      </w:r>
    </w:p>
    <w:p>
      <w:pPr>
        <w:numPr>
          <w:ilvl w:val="0"/>
          <w:numId w:val="1019"/>
        </w:numPr>
        <w:pStyle w:val="Compact"/>
      </w:pPr>
      <w:r>
        <w:rPr>
          <w:bCs/>
          <w:b/>
        </w:rPr>
        <w:t xml:space="preserve">End-of-Life (-0.8%):</w:t>
      </w:r>
      <w:r>
        <w:t xml:space="preserve"> </w:t>
      </w:r>
      <w:r>
        <w:t xml:space="preserve">Strong recyclability and circular programs provide a notable carbon credit.</w:t>
      </w:r>
    </w:p>
    <w:bookmarkEnd w:id="43"/>
    <w:bookmarkStart w:id="44" w:name="reliability-and-data-limitations"/>
    <w:p>
      <w:pPr>
        <w:pStyle w:val="Heading3"/>
      </w:pPr>
      <w:r>
        <w:t xml:space="preserve">6.2. Reliability and Data Limitations</w:t>
      </w:r>
    </w:p>
    <w:p>
      <w:pPr>
        <w:pStyle w:val="FirstParagraph"/>
      </w:pPr>
      <w:r>
        <w:t xml:space="preserve">The reliability of this PCF analysis is high due to the use of specific, user-provided parameters for BOM, energy, logistics, and EoL scenarios. However, some limitations exist:</w:t>
      </w:r>
    </w:p>
    <w:p>
      <w:pPr>
        <w:numPr>
          <w:ilvl w:val="0"/>
          <w:numId w:val="1020"/>
        </w:numPr>
        <w:pStyle w:val="Compact"/>
      </w:pPr>
      <w:r>
        <w:rPr>
          <w:bCs/>
          <w:b/>
        </w:rPr>
        <w:t xml:space="preserve">Illustrative Emission Factors:</w:t>
      </w:r>
      <w:r>
        <w:t xml:space="preserve"> </w:t>
      </w:r>
      <w:r>
        <w:t xml:space="preserve">While adhering to industry-standard principles, specific emission factors (e.g., for transport, grid mixes, and generic material processes not explicitly given in the BOM\'s \'Emission Factor\' column) are illustrative and based on general industry averages (e.g., Ecoinvent/DEFRA equivalents). Actual, site-specific emission factors could refine results further.</w:t>
      </w:r>
    </w:p>
    <w:p>
      <w:pPr>
        <w:numPr>
          <w:ilvl w:val="0"/>
          <w:numId w:val="1020"/>
        </w:numPr>
        <w:pStyle w:val="Compact"/>
      </w:pPr>
      <w:r>
        <w:rPr>
          <w:bCs/>
          <w:b/>
        </w:rPr>
        <w:t xml:space="preserve">Scope 1 Assumptions:</w:t>
      </w:r>
      <w:r>
        <w:t xml:space="preserve"> </w:t>
      </w:r>
      <w:r>
        <w:t xml:space="preserve">Direct manufacturing emissions (Scope 1) were assumed negligible for simplicity. A full primary data collection would include fuel consumption for heating, etc.</w:t>
      </w:r>
    </w:p>
    <w:p>
      <w:pPr>
        <w:numPr>
          <w:ilvl w:val="0"/>
          <w:numId w:val="1020"/>
        </w:numPr>
        <w:pStyle w:val="Compact"/>
      </w:pPr>
      <w:r>
        <w:rPr>
          <w:bCs/>
          <w:b/>
        </w:rPr>
        <w:t xml:space="preserve">Circular Economy Quantification:</w:t>
      </w:r>
      <w:r>
        <w:t xml:space="preserve"> </w:t>
      </w:r>
      <w:r>
        <w:t xml:space="preserve">The carbon benefits of "Company-operated take-back and refurbishment program" are implicitly captured through the recycling credit. A more granular assessment would require detailed data on refurbishment rates, extended product lifespans, and material substitution impacts.</w:t>
      </w:r>
    </w:p>
    <w:p>
      <w:r>
        <w:pict>
          <v:rect style="width:0;height:1.5pt" o:hralign="center" o:hrstd="t" o:hr="t"/>
        </w:pict>
      </w:r>
    </w:p>
    <w:bookmarkEnd w:id="44"/>
    <w:bookmarkEnd w:id="45"/>
    <w:bookmarkStart w:id="46" w:name="recommendations-for-emission-reduction"/>
    <w:p>
      <w:pPr>
        <w:pStyle w:val="Heading2"/>
      </w:pPr>
      <w:r>
        <w:t xml:space="preserve">7. Recommendations for Emission Reduction</w:t>
      </w:r>
    </w:p>
    <w:p>
      <w:pPr>
        <w:pStyle w:val="FirstParagraph"/>
      </w:pPr>
      <w:r>
        <w:t xml:space="preserve">Based on the hotspot analysis, pspizrxluo can focus on the following areas to reduce the carbon footprint of dtjuomodps:</w:t>
      </w:r>
    </w:p>
    <w:p>
      <w:pPr>
        <w:numPr>
          <w:ilvl w:val="0"/>
          <w:numId w:val="1021"/>
        </w:numPr>
        <w:pStyle w:val="Compact"/>
      </w:pPr>
      <w:r>
        <w:rPr>
          <w:bCs/>
          <w:b/>
        </w:rPr>
        <w:t xml:space="preserve">Optimize Use Phase Energy Efficiency:</w:t>
      </w:r>
      <w:r>
        <w:t xml:space="preserve"> </w:t>
      </w:r>
      <w:r>
        <w:t xml:space="preserve">Redesign dtjuomodps to be even more energy-efficient during its operational life. This could involve lower power components, advanced sleep modes, or intelligent power management features.</w:t>
      </w:r>
    </w:p>
    <w:p>
      <w:pPr>
        <w:numPr>
          <w:ilvl w:val="0"/>
          <w:numId w:val="1021"/>
        </w:numPr>
        <w:pStyle w:val="Compact"/>
      </w:pPr>
      <w:r>
        <w:rPr>
          <w:bCs/>
          <w:b/>
        </w:rPr>
        <w:t xml:space="preserve">Promote Renewable Energy Adoption by Users:</w:t>
      </w:r>
      <w:r>
        <w:t xml:space="preserve"> </w:t>
      </w:r>
      <w:r>
        <w:t xml:space="preserve">While challenging to influence directly, promoting awareness or providing guidance on renewable energy choices for consumers could indirectly reduce use phase emissions.</w:t>
      </w:r>
    </w:p>
    <w:p>
      <w:pPr>
        <w:numPr>
          <w:ilvl w:val="0"/>
          <w:numId w:val="1021"/>
        </w:numPr>
        <w:pStyle w:val="Compact"/>
      </w:pPr>
      <w:r>
        <w:rPr>
          <w:bCs/>
          <w:b/>
        </w:rPr>
        <w:t xml:space="preserve">Material Decarbonization:</w:t>
      </w:r>
      <w:r>
        <w:t xml:space="preserve"> </w:t>
      </w:r>
      <w:r>
        <w:t xml:space="preserve">Engage with suppliers to source lower-carbon versions of key components (PCBs, batteries, semiconductors) and materials (plastics). Explore alternative materials with inherently lower carbon footprints.</w:t>
      </w:r>
    </w:p>
    <w:p>
      <w:pPr>
        <w:numPr>
          <w:ilvl w:val="0"/>
          <w:numId w:val="1021"/>
        </w:numPr>
        <w:pStyle w:val="Compact"/>
      </w:pPr>
      <w:r>
        <w:rPr>
          <w:bCs/>
          <w:b/>
        </w:rPr>
        <w:t xml:space="preserve">Enhance Circularity:</w:t>
      </w:r>
      <w:r>
        <w:t xml:space="preserve"> </w:t>
      </w:r>
      <w:r>
        <w:t xml:space="preserve">Further develop and scale the "Company-operated take-back and refurbishment program". Explore opportunities for product-as-a-service models or closed-loop material cycles to minimize waste and maximize resource value.</w:t>
      </w:r>
    </w:p>
    <w:p>
      <w:pPr>
        <w:numPr>
          <w:ilvl w:val="0"/>
          <w:numId w:val="1021"/>
        </w:numPr>
        <w:pStyle w:val="Compact"/>
      </w:pPr>
      <w:r>
        <w:rPr>
          <w:bCs/>
          <w:b/>
        </w:rPr>
        <w:t xml:space="preserve">Increase Renewable Energy in Manufacturing:</w:t>
      </w:r>
      <w:r>
        <w:t xml:space="preserve"> </w:t>
      </w:r>
      <w:r>
        <w:t xml:space="preserve">While already at 40%, increasing the share of renewable energy at the China production facility would further reduce Scope 2 emissions.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dtjuomodps</dc:title>
  <dc:creator/>
  <dc:description>Detailed Product Carbon Footprint (PCF) analysis report for dtjuomodps, performed by vfrwxjsder for pspizrxluo, following GHG Protocol standards including 2026 LSR update and Scope 3 compliance.</dc:description>
  <dc:language>en</dc:language>
  <cp:keywords/>
  <dcterms:created xsi:type="dcterms:W3CDTF">2026-05-30T18:29:59Z</dcterms:created>
  <dcterms:modified xsi:type="dcterms:W3CDTF">2026-05-30T18:29:59Z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